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sz w:val="20"/>
        </w:rPr>
      </w:pPr>
      <w:bookmarkStart w:id="0" w:name="che-20260630x10q.htm"/>
      <w:bookmarkStart w:id="1" w:name="ksche20260630x10q"/>
      <w:bookmarkEnd w:id="0"/>
      <w:bookmarkEnd w:id="1"/>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Washington, D.C. 20549</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p>
      <w:pPr>
        <w:pStyle w:val="TextBody"/>
        <w:bidi w:val="0"/>
        <w:spacing w:lineRule="auto" w:line="259"/>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Quarterly Report Under Section 13 or 15 (d) of the Securities Exchange Act of 1934 for the Quarterly Period Ended June 30, 2026</w:t>
      </w:r>
    </w:p>
    <w:p>
      <w:pPr>
        <w:pStyle w:val="TextBody"/>
        <w:bidi w:val="0"/>
        <w:spacing w:lineRule="auto" w:line="259"/>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Transition Report Pursuant to Section 13 or 15(d) of the Securities Exchange Act of 1934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1-8351</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CHEMED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971" w:type="dxa"/>
        <w:jc w:val="center"/>
        <w:tblInd w:w="0" w:type="dxa"/>
        <w:tblLayout w:type="fixed"/>
        <w:tblCellMar>
          <w:top w:w="0" w:type="dxa"/>
          <w:left w:w="0" w:type="dxa"/>
          <w:bottom w:w="0" w:type="dxa"/>
          <w:right w:w="0" w:type="dxa"/>
        </w:tblCellMar>
      </w:tblPr>
      <w:tblGrid>
        <w:gridCol w:w="4966"/>
        <w:gridCol w:w="109"/>
        <w:gridCol w:w="2896"/>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31-0791746</w:t>
            </w:r>
          </w:p>
        </w:tc>
      </w:tr>
      <w:tr>
        <w:trPr/>
        <w:tc>
          <w:tcPr>
            <w:tcW w:w="49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 Identification No.)</w:t>
            </w:r>
          </w:p>
        </w:tc>
      </w:tr>
      <w:tr>
        <w:trPr/>
        <w:tc>
          <w:tcPr>
            <w:tcW w:w="49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 E. Fifth Street, Suite 2600, Cincinnati, Ohio</w:t>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45202</w:t>
            </w:r>
          </w:p>
        </w:tc>
      </w:tr>
      <w:tr>
        <w:trPr/>
        <w:tc>
          <w:tcPr>
            <w:tcW w:w="49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tc>
      </w:tr>
      <w:tr>
        <w:trPr/>
        <w:tc>
          <w:tcPr>
            <w:tcW w:w="7971" w:type="dxa"/>
            <w:gridSpan w:val="3"/>
            <w:tcBorders/>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 762-6690</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tbl>
      <w:tblPr>
        <w:tblW w:w="1729" w:type="dxa"/>
        <w:jc w:val="left"/>
        <w:tblInd w:w="0" w:type="dxa"/>
        <w:tblLayout w:type="fixed"/>
        <w:tblCellMar>
          <w:top w:w="0" w:type="dxa"/>
          <w:left w:w="0" w:type="dxa"/>
          <w:bottom w:w="0" w:type="dxa"/>
          <w:right w:w="0" w:type="dxa"/>
        </w:tblCellMar>
      </w:tblPr>
      <w:tblGrid>
        <w:gridCol w:w="511"/>
        <w:gridCol w:w="361"/>
        <w:gridCol w:w="436"/>
        <w:gridCol w:w="421"/>
      </w:tblGrid>
      <w:tr>
        <w:trPr/>
        <w:tc>
          <w:tcPr>
            <w:tcW w:w="5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Yes  </w:t>
            </w:r>
          </w:p>
        </w:tc>
        <w:tc>
          <w:tcPr>
            <w:tcW w:w="361"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caps w:val="false"/>
                <w:smallCaps w:val="false"/>
                <w:sz w:val="20"/>
              </w:rPr>
              <w:t xml:space="preserve"> </w:t>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w:t>
            </w:r>
          </w:p>
        </w:tc>
        <w:tc>
          <w:tcPr>
            <w:tcW w:w="421"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729" w:type="dxa"/>
        <w:jc w:val="left"/>
        <w:tblInd w:w="0" w:type="dxa"/>
        <w:tblLayout w:type="fixed"/>
        <w:tblCellMar>
          <w:top w:w="0" w:type="dxa"/>
          <w:left w:w="0" w:type="dxa"/>
          <w:bottom w:w="0" w:type="dxa"/>
          <w:right w:w="0" w:type="dxa"/>
        </w:tblCellMar>
      </w:tblPr>
      <w:tblGrid>
        <w:gridCol w:w="511"/>
        <w:gridCol w:w="361"/>
        <w:gridCol w:w="436"/>
        <w:gridCol w:w="421"/>
      </w:tblGrid>
      <w:tr>
        <w:trPr/>
        <w:tc>
          <w:tcPr>
            <w:tcW w:w="5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Yes  </w:t>
            </w:r>
          </w:p>
        </w:tc>
        <w:tc>
          <w:tcPr>
            <w:tcW w:w="361"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caps w:val="false"/>
                <w:smallCaps w:val="false"/>
                <w:sz w:val="20"/>
              </w:rPr>
              <w:t xml:space="preserve"> </w:t>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w:t>
            </w:r>
          </w:p>
        </w:tc>
        <w:tc>
          <w:tcPr>
            <w:tcW w:w="421"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large accelerated filer, an accelerated filer or a non-accelerated filer (as defined in Rule 12b-2 of the Exchange Act).</w:t>
      </w:r>
    </w:p>
    <w:tbl>
      <w:tblPr>
        <w:tblW w:w="9320" w:type="dxa"/>
        <w:jc w:val="left"/>
        <w:tblInd w:w="0" w:type="dxa"/>
        <w:tblLayout w:type="fixed"/>
        <w:tblCellMar>
          <w:top w:w="0" w:type="dxa"/>
          <w:left w:w="0" w:type="dxa"/>
          <w:bottom w:w="0" w:type="dxa"/>
          <w:right w:w="0" w:type="dxa"/>
        </w:tblCellMar>
      </w:tblPr>
      <w:tblGrid>
        <w:gridCol w:w="2011"/>
        <w:gridCol w:w="316"/>
        <w:gridCol w:w="109"/>
        <w:gridCol w:w="1486"/>
        <w:gridCol w:w="286"/>
        <w:gridCol w:w="109"/>
        <w:gridCol w:w="1846"/>
        <w:gridCol w:w="286"/>
        <w:gridCol w:w="109"/>
        <w:gridCol w:w="2431"/>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28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28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the extended transition period for complying with a new or revised financial accounting standards provided pursuant to Section 13 (a) of the Exchange Act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w:t>
      </w:r>
    </w:p>
    <w:tbl>
      <w:tblPr>
        <w:tblW w:w="1789" w:type="dxa"/>
        <w:jc w:val="left"/>
        <w:tblInd w:w="0" w:type="dxa"/>
        <w:tblLayout w:type="fixed"/>
        <w:tblCellMar>
          <w:top w:w="0" w:type="dxa"/>
          <w:left w:w="0" w:type="dxa"/>
          <w:bottom w:w="0" w:type="dxa"/>
          <w:right w:w="0" w:type="dxa"/>
        </w:tblCellMar>
      </w:tblPr>
      <w:tblGrid>
        <w:gridCol w:w="511"/>
        <w:gridCol w:w="391"/>
        <w:gridCol w:w="436"/>
        <w:gridCol w:w="451"/>
      </w:tblGrid>
      <w:tr>
        <w:trPr/>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Yes  </w:t>
            </w:r>
          </w:p>
        </w:tc>
        <w:tc>
          <w:tcPr>
            <w:tcW w:w="391" w:type="dxa"/>
            <w:tcBorders/>
            <w:vAlign w:val="center"/>
          </w:tcPr>
          <w:p>
            <w:pPr>
              <w:pStyle w:val="TableContents"/>
              <w:bidi w:val="0"/>
              <w:spacing w:lineRule="auto" w:line="259" w:before="0" w:after="283"/>
              <w:rPr/>
            </w:pPr>
            <w:r>
              <w:rPr>
                <w:caps w:val="false"/>
                <w:smallCaps w:val="false"/>
              </w:rPr>
              <w:t> </w:t>
            </w:r>
            <w:r>
              <w:rPr>
                <w:rFonts w:ascii="Wingdings" w:hAnsi="Wingdings"/>
                <w:b w:val="false"/>
                <w:i w:val="false"/>
                <w:caps w:val="false"/>
                <w:smallCaps w:val="false"/>
                <w:sz w:val="20"/>
              </w:rPr>
              <w:t>o</w:t>
            </w:r>
            <w:r>
              <w:rPr>
                <w:rFonts w:ascii="Times New Roman;serif" w:hAnsi="Times New Roman;serif"/>
                <w:caps w:val="false"/>
                <w:smallCaps w:val="false"/>
                <w:sz w:val="20"/>
              </w:rPr>
              <w:t> </w:t>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w:t>
            </w:r>
          </w:p>
        </w:tc>
        <w:tc>
          <w:tcPr>
            <w:tcW w:w="451"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caps w:val="false"/>
                <w:smallCaps w:val="false"/>
                <w:sz w:val="20"/>
              </w:rPr>
              <w:t xml:space="preserve">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the number of shares outstanding of each of the issuer's classes of common stock, as of the latest practicable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914" w:type="dxa"/>
        <w:jc w:val="center"/>
        <w:tblInd w:w="0" w:type="dxa"/>
        <w:tblLayout w:type="fixed"/>
        <w:tblCellMar>
          <w:top w:w="0" w:type="dxa"/>
          <w:left w:w="0" w:type="dxa"/>
          <w:bottom w:w="0" w:type="dxa"/>
          <w:right w:w="0" w:type="dxa"/>
        </w:tblCellMar>
      </w:tblPr>
      <w:tblGrid>
        <w:gridCol w:w="2311"/>
        <w:gridCol w:w="1426"/>
        <w:gridCol w:w="1140"/>
        <w:gridCol w:w="1140"/>
        <w:gridCol w:w="1606"/>
        <w:gridCol w:w="1291"/>
      </w:tblGrid>
      <w:tr>
        <w:trPr/>
        <w:tc>
          <w:tcPr>
            <w:tcW w:w="23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97" w:type="dxa"/>
            <w:gridSpan w:val="2"/>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w:t>
            </w:r>
          </w:p>
        </w:tc>
        <w:tc>
          <w:tcPr>
            <w:tcW w:w="2280" w:type="dxa"/>
            <w:gridSpan w:val="2"/>
            <w:tcBorders/>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which Registered</w:t>
            </w:r>
          </w:p>
        </w:tc>
        <w:tc>
          <w:tcPr>
            <w:tcW w:w="16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80" w:type="dxa"/>
            <w:gridSpan w:val="2"/>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Stock $1 Par Value</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w:t>
            </w:r>
          </w:p>
        </w:tc>
        <w:tc>
          <w:tcPr>
            <w:tcW w:w="228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York Stock Exchange</w:t>
            </w:r>
          </w:p>
        </w:tc>
        <w:tc>
          <w:tcPr>
            <w:tcW w:w="160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13,069,961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2026</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97"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Heading1"/>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CHEMED CORPORATION AND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SUBSIDIARY COMPANIES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Index</w:t>
      </w:r>
    </w:p>
    <w:tbl>
      <w:tblPr>
        <w:tblW w:w="8852" w:type="dxa"/>
        <w:jc w:val="left"/>
        <w:tblInd w:w="0" w:type="dxa"/>
        <w:tblLayout w:type="fixed"/>
        <w:tblCellMar>
          <w:top w:w="0" w:type="dxa"/>
          <w:left w:w="0" w:type="dxa"/>
          <w:bottom w:w="0" w:type="dxa"/>
          <w:right w:w="0" w:type="dxa"/>
        </w:tblCellMar>
      </w:tblPr>
      <w:tblGrid>
        <w:gridCol w:w="7951"/>
        <w:gridCol w:w="901"/>
      </w:tblGrid>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Page No.</w:t>
            </w:r>
          </w:p>
        </w:tc>
      </w:tr>
      <w:tr>
        <w:trPr/>
        <w:tc>
          <w:tcPr>
            <w:tcW w:w="79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Item 1. Financial Statements</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color w:val="0000FF"/>
                  <w:sz w:val="20"/>
                  <w:u w:val="single"/>
                </w:rPr>
                <w:t>Unaudited Consolidated Balance Sheets -</w:t>
              </w:r>
            </w:hyperlink>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2026 and December 31, 2025</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color w:val="0000FF"/>
                  <w:sz w:val="20"/>
                  <w:u w:val="single"/>
                </w:rPr>
                <w:t>Unaudited Consolidated Statements of Income -</w:t>
              </w:r>
            </w:hyperlink>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Three months and six months ended June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30, 2026 and 2025</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color w:val="0000FF"/>
                  <w:sz w:val="20"/>
                  <w:u w:val="single"/>
                </w:rPr>
                <w:t>Unaudited Consolidated Statements of Cash Flows -</w:t>
              </w:r>
            </w:hyperlink>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Six months ended June 30, 2026 and 2025</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000FF"/>
                  <w:sz w:val="20"/>
                  <w:u w:val="single"/>
                  <w:effect w:val="none"/>
                </w:rPr>
                <w:t>Unaudited Consolidated Statements of Changes in Stockholders’ Equity-</w:t>
              </w:r>
            </w:hyperlink>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Three months and six months ended June 30, 2026 and 2025</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color w:val="0000FF"/>
                  <w:sz w:val="20"/>
                  <w:u w:val="single"/>
                </w:rPr>
                <w:t>Notes to Unaudited Consolidated Financial Statements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2MDAA">
              <w:r>
                <w:rPr>
                  <w:rStyle w:val="InternetLink"/>
                  <w:rFonts w:ascii="Times New Roman;serif" w:hAnsi="Times New Roman;serif"/>
                  <w:b w:val="false"/>
                  <w:i w:val="false"/>
                  <w:caps w:val="false"/>
                  <w:smallCaps w:val="false"/>
                  <w:color w:val="0000FF"/>
                  <w:sz w:val="20"/>
                  <w:u w:val="single"/>
                </w:rPr>
                <w:t>Item 2. Management's Discussion and Analysis of Financial Condition and Results of Operations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3MarketRisk">
              <w:r>
                <w:rPr>
                  <w:rStyle w:val="InternetLink"/>
                  <w:rFonts w:ascii="Times New Roman;serif" w:hAnsi="Times New Roman;serif"/>
                  <w:b w:val="false"/>
                  <w:i w:val="false"/>
                  <w:caps w:val="false"/>
                  <w:smallCaps w:val="false"/>
                  <w:color w:val="0000FF"/>
                  <w:sz w:val="20"/>
                  <w:u w:val="single"/>
                </w:rPr>
                <w:t>Item 3. Quantitative and Qualitative Disclosures about Market Risk</w:t>
              </w:r>
            </w:hyperlink>
            <w:r>
              <w:rPr>
                <w:rFonts w:ascii="Times New Roman;serif" w:hAnsi="Times New Roman;serif"/>
                <w:caps w:val="false"/>
                <w:smallCaps w:val="false"/>
                <w:sz w:val="20"/>
              </w:rPr>
              <w:t xml:space="preserve"> </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4ControlsandProcedures">
              <w:r>
                <w:rPr>
                  <w:rStyle w:val="InternetLink"/>
                  <w:rFonts w:ascii="Times New Roman;serif" w:hAnsi="Times New Roman;serif"/>
                  <w:b w:val="false"/>
                  <w:i w:val="false"/>
                  <w:caps w:val="false"/>
                  <w:smallCaps w:val="false"/>
                  <w:color w:val="0000FF"/>
                  <w:sz w:val="20"/>
                  <w:u w:val="single"/>
                </w:rPr>
                <w:t>Item 4. Controls and Procedures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1LegalProceedings">
              <w:r>
                <w:rPr>
                  <w:rStyle w:val="InternetLink"/>
                  <w:rFonts w:ascii="Times New Roman;serif" w:hAnsi="Times New Roman;serif"/>
                  <w:b w:val="false"/>
                  <w:i w:val="false"/>
                  <w:caps w:val="false"/>
                  <w:smallCaps w:val="false"/>
                  <w:color w:val="0000FF"/>
                  <w:sz w:val="20"/>
                  <w:u w:val="single"/>
                </w:rPr>
                <w:t>Item 1. Legal Proceedings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1ARiskFactors">
              <w:r>
                <w:rPr>
                  <w:rStyle w:val="InternetLink"/>
                  <w:rFonts w:ascii="Times New Roman;serif" w:hAnsi="Times New Roman;serif"/>
                  <w:b w:val="false"/>
                  <w:i w:val="false"/>
                  <w:caps w:val="false"/>
                  <w:smallCaps w:val="false"/>
                  <w:color w:val="0000FF"/>
                  <w:sz w:val="20"/>
                  <w:u w:val="single"/>
                </w:rPr>
                <w:t xml:space="preserve">Item 1A. Risk Factors </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2UnregisteredSales">
              <w:r>
                <w:rPr>
                  <w:rStyle w:val="InternetLink"/>
                  <w:rFonts w:ascii="Times New Roman;serif" w:hAnsi="Times New Roman;serif"/>
                  <w:b w:val="false"/>
                  <w:i w:val="false"/>
                  <w:caps w:val="false"/>
                  <w:smallCaps w:val="false"/>
                  <w:color w:val="0000FF"/>
                  <w:sz w:val="20"/>
                  <w:u w:val="single"/>
                </w:rPr>
                <w:t>Item 2. Unregistered Sales of Equity Securities and Use of Proceeds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3DefaultsUponSeniorSecurities">
              <w:r>
                <w:rPr>
                  <w:rStyle w:val="InternetLink"/>
                  <w:rFonts w:ascii="Times New Roman;serif" w:hAnsi="Times New Roman;serif"/>
                  <w:b w:val="false"/>
                  <w:i w:val="false"/>
                  <w:caps w:val="false"/>
                  <w:smallCaps w:val="false"/>
                  <w:color w:val="0000FF"/>
                  <w:sz w:val="20"/>
                  <w:u w:val="single"/>
                </w:rPr>
                <w:t>Item 3. Defaults Upon Senior Securities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4MineSafetyDisclosures">
              <w:r>
                <w:rPr>
                  <w:rStyle w:val="InternetLink"/>
                  <w:rFonts w:ascii="Times New Roman;serif" w:hAnsi="Times New Roman;serif"/>
                  <w:b w:val="false"/>
                  <w:i w:val="false"/>
                  <w:caps w:val="false"/>
                  <w:smallCaps w:val="false"/>
                  <w:color w:val="0000FF"/>
                  <w:sz w:val="20"/>
                  <w:u w:val="single"/>
                </w:rPr>
                <w:t>Item 4. Mine Safety Disclosures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5OtherInformation">
              <w:r>
                <w:rPr>
                  <w:rStyle w:val="InternetLink"/>
                  <w:rFonts w:ascii="Times New Roman;serif" w:hAnsi="Times New Roman;serif"/>
                  <w:b w:val="false"/>
                  <w:i w:val="false"/>
                  <w:caps w:val="false"/>
                  <w:smallCaps w:val="false"/>
                  <w:color w:val="0000FF"/>
                  <w:sz w:val="20"/>
                  <w:u w:val="single"/>
                </w:rPr>
                <w:t>Item 5. Other Information</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Item6Exhibits">
              <w:r>
                <w:rPr>
                  <w:rStyle w:val="InternetLink"/>
                  <w:rFonts w:ascii="Times New Roman;serif" w:hAnsi="Times New Roman;serif"/>
                  <w:b w:val="false"/>
                  <w:i w:val="false"/>
                  <w:caps w:val="false"/>
                  <w:smallCaps w:val="false"/>
                  <w:color w:val="0000FF"/>
                  <w:sz w:val="20"/>
                  <w:u w:val="single"/>
                </w:rPr>
                <w:t>Item 6. Exhibits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10.1</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31.1</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31.2</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32.1</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32.2</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101</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 – 104</w:t>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before="0" w:after="283"/>
              <w:jc w:val="left"/>
              <w:rPr/>
            </w:pPr>
            <w:hyperlink w:anchor="signature">
              <w:r>
                <w:rPr>
                  <w:rStyle w:val="InternetLink"/>
                  <w:rFonts w:ascii="Times New Roman;serif" w:hAnsi="Times New Roman;serif"/>
                  <w:b w:val="false"/>
                  <w:i w:val="false"/>
                  <w:caps w:val="false"/>
                  <w:smallCaps w:val="false"/>
                  <w:strike w:val="false"/>
                  <w:dstrike w:val="false"/>
                  <w:color w:val="0000FF"/>
                  <w:sz w:val="20"/>
                  <w:u w:val="single"/>
                  <w:effect w:val="none"/>
                </w:rPr>
                <w:t>SIGNATURES</w:t>
              </w:r>
            </w:hyperlink>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bookmarkStart w:id="2" w:name="BS"/>
      <w:bookmarkEnd w:id="2"/>
    </w:p>
    <w:tbl>
      <w:tblPr>
        <w:tblW w:w="10205" w:type="dxa"/>
        <w:jc w:val="left"/>
        <w:tblInd w:w="0" w:type="dxa"/>
        <w:tblLayout w:type="fixed"/>
        <w:tblCellMar>
          <w:top w:w="0" w:type="dxa"/>
          <w:left w:w="0" w:type="dxa"/>
          <w:bottom w:w="0" w:type="dxa"/>
          <w:right w:w="0" w:type="dxa"/>
        </w:tblCellMar>
      </w:tblPr>
      <w:tblGrid>
        <w:gridCol w:w="7362"/>
        <w:gridCol w:w="205"/>
        <w:gridCol w:w="991"/>
        <w:gridCol w:w="109"/>
        <w:gridCol w:w="253"/>
        <w:gridCol w:w="1285"/>
      </w:tblGrid>
      <w:tr>
        <w:trPr/>
        <w:tc>
          <w:tcPr>
            <w:tcW w:w="7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 FINANCIAL INFORMATION</w:t>
            </w:r>
          </w:p>
        </w:tc>
      </w:tr>
      <w:tr>
        <w:trPr/>
        <w:tc>
          <w:tcPr>
            <w:tcW w:w="10205"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1. Financial Statements</w:t>
            </w:r>
          </w:p>
        </w:tc>
      </w:tr>
      <w:tr>
        <w:trPr/>
        <w:tc>
          <w:tcPr>
            <w:tcW w:w="10205"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 CONSOLIDATED BALANCE SHEETS</w:t>
            </w:r>
          </w:p>
        </w:tc>
      </w:tr>
      <w:tr>
        <w:trPr/>
        <w:tc>
          <w:tcPr>
            <w:tcW w:w="10205"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 thousands, except share and per share data)</w:t>
            </w:r>
          </w:p>
        </w:tc>
      </w:tr>
      <w:tr>
        <w:trPr/>
        <w:tc>
          <w:tcPr>
            <w:tcW w:w="7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before="0" w:after="283"/>
              <w:jc w:val="left"/>
              <w:rPr>
                <w:sz w:val="4"/>
                <w:szCs w:val="4"/>
              </w:rPr>
            </w:pPr>
            <w:r>
              <w:rPr>
                <w:sz w:val="4"/>
                <w:szCs w:val="4"/>
              </w:rPr>
            </w:r>
          </w:p>
        </w:tc>
        <w:tc>
          <w:tcPr>
            <w:tcW w:w="11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 xml:space="preserve">June 30, 2026 </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December 31, 2025</w:t>
            </w:r>
          </w:p>
        </w:tc>
      </w:tr>
      <w:tr>
        <w:trPr/>
        <w:tc>
          <w:tcPr>
            <w:tcW w:w="73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ASSETS</w:t>
            </w:r>
          </w:p>
        </w:tc>
        <w:tc>
          <w:tcPr>
            <w:tcW w:w="2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Current assets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Cash and cash equivalents</w:t>
            </w:r>
          </w:p>
        </w:tc>
        <w:tc>
          <w:tcPr>
            <w:tcW w:w="2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40,222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74,515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Accounts receivable less allowances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188,634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182,575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Inventories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7,630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7,543</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Prepaid income taxes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17,646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11,165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Prepaid expenses</w:t>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37,103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26,818</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current assets</w:t>
            </w:r>
          </w:p>
        </w:tc>
        <w:tc>
          <w:tcPr>
            <w:tcW w:w="2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291,235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302,616</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Investments of deferred compensation plans held in trust</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148,153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140,347</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Properties and equipment, at cost, less accumulated depreciation of $403,739</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(2025- $388,104)</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208,499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205,662</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Lease right of use asset</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142,535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131,151</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Identifiable intangible assets less accumulated amortization of $74,720</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(2025 - $69,432)</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78,601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82,764</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Goodwill</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699,398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666,999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assets</w:t>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11,164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8,650</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Assets</w:t>
            </w:r>
          </w:p>
        </w:tc>
        <w:tc>
          <w:tcPr>
            <w:tcW w:w="2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1,579,585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8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1,538,189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before="0" w:after="283"/>
              <w:jc w:val="left"/>
              <w:rPr>
                <w:sz w:val="4"/>
                <w:szCs w:val="4"/>
              </w:rPr>
            </w:pPr>
            <w:r>
              <w:rPr>
                <w:sz w:val="4"/>
                <w:szCs w:val="4"/>
              </w:rPr>
            </w:r>
          </w:p>
        </w:tc>
        <w:tc>
          <w:tcPr>
            <w:tcW w:w="20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LIABILITIES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Current liabilities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Accounts payable</w:t>
            </w:r>
          </w:p>
        </w:tc>
        <w:tc>
          <w:tcPr>
            <w:tcW w:w="2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84,713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64,459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Accrued insurance</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72,455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62,054</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Accrued compensation</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63,794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58,329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Short-term lease liability</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41,277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40,892</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2,504</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current liabilities</w:t>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57,607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58,892</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current liabilities</w:t>
            </w:r>
          </w:p>
        </w:tc>
        <w:tc>
          <w:tcPr>
            <w:tcW w:w="2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319,846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287,130</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Deferred compensation liabilities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146,986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136,139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Long-term debt</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140,000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Long-term lease liability</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113,516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102,867</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Deferred income taxes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15,050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19,313</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liabilities</w:t>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13,677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13,335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Liabilities</w:t>
            </w:r>
          </w:p>
        </w:tc>
        <w:tc>
          <w:tcPr>
            <w:tcW w:w="2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749,075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558,784</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Commitments and contingencies (Note 10)</w:t>
            </w:r>
          </w:p>
        </w:tc>
        <w:tc>
          <w:tcPr>
            <w:tcW w:w="2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STOCKHOLDERS' EQUITY</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Capital stock - authorized 80,000,000</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shares $1</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par; issued 37,612,657</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shares (2025 - 37,594,676</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shares)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37,613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37,595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Paid-in capital</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1,617,125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1,592,197</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Retained earnings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3,073,331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2,955,375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Treasury stock - 24,597,558</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shares (2025 - 23,884,187</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shares)</w:t>
            </w:r>
          </w:p>
        </w:tc>
        <w:tc>
          <w:tcPr>
            <w:tcW w:w="20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(3,900,000)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(3,608,117)</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Deferred compensation payable in Company stock</w:t>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2,355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Stockholders' Equity</w:t>
            </w:r>
          </w:p>
        </w:tc>
        <w:tc>
          <w:tcPr>
            <w:tcW w:w="2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830,510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979,405</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Liabilities and Stockholders' Equity</w:t>
            </w:r>
          </w:p>
        </w:tc>
        <w:tc>
          <w:tcPr>
            <w:tcW w:w="2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1,579,585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8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1,538,189</w:t>
            </w:r>
            <w:r>
              <w:rPr>
                <w:rFonts w:ascii="Times New Roman;serif" w:hAnsi="Times New Roman;serif"/>
                <w:caps w:val="false"/>
                <w:smallCaps w:val="false"/>
                <w:color w:val="000000"/>
                <w:sz w:val="16"/>
              </w:rPr>
              <w:t> </w:t>
            </w:r>
          </w:p>
        </w:tc>
      </w:tr>
      <w:tr>
        <w:trPr/>
        <w:tc>
          <w:tcPr>
            <w:tcW w:w="7362" w:type="dxa"/>
            <w:tcBorders/>
            <w:vAlign w:val="center"/>
          </w:tcPr>
          <w:p>
            <w:pPr>
              <w:pStyle w:val="TableContents"/>
              <w:bidi w:val="0"/>
              <w:spacing w:before="0" w:after="283"/>
              <w:jc w:val="left"/>
              <w:rPr>
                <w:sz w:val="4"/>
                <w:szCs w:val="4"/>
              </w:rPr>
            </w:pPr>
            <w:r>
              <w:rPr>
                <w:sz w:val="4"/>
                <w:szCs w:val="4"/>
              </w:rPr>
            </w:r>
          </w:p>
        </w:tc>
        <w:tc>
          <w:tcPr>
            <w:tcW w:w="20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See Accompanying Notes to Unaudited Consolidated Financial Statements.</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bookmarkStart w:id="3" w:name="IS"/>
      <w:bookmarkEnd w:id="3"/>
    </w:p>
    <w:tbl>
      <w:tblPr>
        <w:tblW w:w="9656" w:type="dxa"/>
        <w:jc w:val="left"/>
        <w:tblInd w:w="0" w:type="dxa"/>
        <w:tblLayout w:type="fixed"/>
        <w:tblCellMar>
          <w:top w:w="0" w:type="dxa"/>
          <w:left w:w="0" w:type="dxa"/>
          <w:bottom w:w="0" w:type="dxa"/>
          <w:right w:w="0" w:type="dxa"/>
        </w:tblCellMar>
      </w:tblPr>
      <w:tblGrid>
        <w:gridCol w:w="4816"/>
        <w:gridCol w:w="242"/>
        <w:gridCol w:w="912"/>
        <w:gridCol w:w="135"/>
        <w:gridCol w:w="242"/>
        <w:gridCol w:w="912"/>
        <w:gridCol w:w="109"/>
        <w:gridCol w:w="196"/>
        <w:gridCol w:w="871"/>
        <w:gridCol w:w="109"/>
        <w:gridCol w:w="196"/>
        <w:gridCol w:w="916"/>
      </w:tblGrid>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9656"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9656"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 CONSOLIDATED STATEMENTS OF INCOME</w:t>
            </w:r>
          </w:p>
        </w:tc>
      </w:tr>
      <w:tr>
        <w:trPr/>
        <w:tc>
          <w:tcPr>
            <w:tcW w:w="9656"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 thousands, except per share data)</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4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8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2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673,251</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618,798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1,330,764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1,265,741</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Cost of services provided and goods sold (excluding depreciation)</w:t>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451,780</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434,105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893,529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864,635</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Selling, general and administrative expenses</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115,203</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100,323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229,524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205,910</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14,267</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13,689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27,134</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2,719</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2,571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5,289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5,143</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operating expense</w:t>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77</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costs and expenses</w:t>
            </w:r>
          </w:p>
        </w:tc>
        <w:tc>
          <w:tcPr>
            <w:tcW w:w="24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584,047</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550,714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1,156,982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1,102,899</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from operations</w:t>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89,204</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68,084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173,782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162,842</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expense</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(1,789)</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(772)</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income - net</w:t>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3,914</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3,474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4,719</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before income taxes</w:t>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91,329</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71,115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180,169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166,789</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(23,626)</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(46,164)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(42,539)</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 Per Share:</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5.14</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8.51</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Average number of shares outstanding</w:t>
            </w:r>
          </w:p>
        </w:tc>
        <w:tc>
          <w:tcPr>
            <w:tcW w:w="242"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13,174</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14,591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14,606</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Diluted Earnings Per Share:</w:t>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5.13</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9.97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8.43</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Average number of shares outstanding</w:t>
            </w:r>
          </w:p>
        </w:tc>
        <w:tc>
          <w:tcPr>
            <w:tcW w:w="242"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13,199</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13,442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14,733</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Dividends Per Share</w:t>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0.60</w:t>
            </w:r>
            <w:r>
              <w:rPr>
                <w:rFonts w:ascii="Times New Roman;serif" w:hAnsi="Times New Roman;serif"/>
                <w:caps w:val="false"/>
                <w:smallCaps w:val="false"/>
                <w:color w:val="000000"/>
                <w:sz w:val="16"/>
              </w:rPr>
              <w:t> </w:t>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0.50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1.20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w:t>
            </w:r>
            <w:r>
              <w:rPr>
                <w:rFonts w:ascii="Times New Roman;serif" w:hAnsi="Times New Roman;serif"/>
                <w:caps w:val="false"/>
                <w:smallCaps w:val="false"/>
                <w:color w:val="000000"/>
                <w:sz w:val="16"/>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9656" w:type="dxa"/>
            <w:gridSpan w:val="1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See Accompanying Notes to Unaudited Consolidated Financial Statements.</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bookmarkStart w:id="4" w:name="CF"/>
      <w:bookmarkEnd w:id="4"/>
    </w:p>
    <w:tbl>
      <w:tblPr>
        <w:tblW w:w="7214" w:type="dxa"/>
        <w:jc w:val="left"/>
        <w:tblInd w:w="0" w:type="dxa"/>
        <w:tblLayout w:type="fixed"/>
        <w:tblCellMar>
          <w:top w:w="0" w:type="dxa"/>
          <w:left w:w="0" w:type="dxa"/>
          <w:bottom w:w="0" w:type="dxa"/>
          <w:right w:w="0" w:type="dxa"/>
        </w:tblCellMar>
      </w:tblPr>
      <w:tblGrid>
        <w:gridCol w:w="4936"/>
        <w:gridCol w:w="213"/>
        <w:gridCol w:w="883"/>
        <w:gridCol w:w="118"/>
        <w:gridCol w:w="213"/>
        <w:gridCol w:w="851"/>
      </w:tblGrid>
      <w:tr>
        <w:trPr/>
        <w:tc>
          <w:tcPr>
            <w:tcW w:w="49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7214"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7214" w:type="dxa"/>
            <w:gridSpan w:val="6"/>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 CONSOLIDATED STATEMENTS OF CASH FLOWS</w:t>
            </w:r>
          </w:p>
        </w:tc>
      </w:tr>
      <w:tr>
        <w:trPr/>
        <w:tc>
          <w:tcPr>
            <w:tcW w:w="7214" w:type="dxa"/>
            <w:gridSpan w:val="6"/>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2278" w:type="dxa"/>
            <w:gridSpan w:val="5"/>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22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49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Operating Activities</w:t>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Adjustments to reconcile net income to net cash provided</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by operating activities: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 and amortization</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33,859</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32,277</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18,302</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18,307</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Benefit for deferred income taxes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(4,262)</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(13,243)</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long-term incentive compensation</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3,633</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3,273</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directors' compensation</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1,191</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1,123</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Litigation settlements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548</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debt issuance costs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163</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160</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Changes in operating assets and liabilities: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 in accounts receivable</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(6,716)</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(13,466)</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 in inventories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(87)</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(955)</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 in prepaid expenses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(10,285)</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(7,232)</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Increase/(decrease) in accounts payable and other current liabilities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9,174</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(12,449)</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current income taxes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(8,985)</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(10,764)</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lease assets and liabilities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292</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(Increase)/decrease in other assets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(9,489)</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48,426</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Increase in other liabilities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11,191</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1,521</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sources</w:t>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498</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194</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provided by operating activities</w:t>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173,032</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171,350</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Investing Activities</w:t>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Business combinations, net of cash acquired</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(33,540)</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(225)</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 expenditures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(32,639)</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(29,088)</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sale of fixed assets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422</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480</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uses</w:t>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(270)</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(322)</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used by investing activities</w:t>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(66,027)</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(29,155)</w:t>
            </w:r>
          </w:p>
        </w:tc>
      </w:tr>
      <w:tr>
        <w:trPr/>
        <w:tc>
          <w:tcPr>
            <w:tcW w:w="49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Financing Activities</w:t>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revolving line of credit</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491,480</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Payments on revolving line of credit</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(351,480)</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Purchases of treasury stock</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(287,521)</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(76,168)</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cash overdrafts payable</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23,305</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309</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Dividends paid</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(16,049)</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(14,542)</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exercise of stock options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2,731</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27,152</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 stock surrendered to pay taxes on stock-based compensation</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(1,482)</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(8,484)</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Debt issuance costs</w:t>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(1,349)</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(uses)/sources</w:t>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(933)</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1,092</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used by financing activities</w:t>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(141,298)</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(70,641)</w:t>
            </w:r>
          </w:p>
        </w:tc>
      </w:tr>
      <w:tr>
        <w:trPr/>
        <w:tc>
          <w:tcPr>
            <w:tcW w:w="49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(Decrease)/increase in Cash and Cash Equivalents</w:t>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(34,293)</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71,554</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beginning of period</w:t>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74,515</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178,350</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end of period</w:t>
            </w:r>
          </w:p>
        </w:tc>
        <w:tc>
          <w:tcPr>
            <w:tcW w:w="2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40,222</w:t>
            </w:r>
            <w:r>
              <w:rPr>
                <w:rFonts w:ascii="Times New Roman;serif" w:hAnsi="Times New Roman;serif"/>
                <w:caps w:val="false"/>
                <w:smallCaps w:val="false"/>
                <w:color w:val="000000"/>
                <w:sz w:val="16"/>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249,904</w:t>
            </w:r>
            <w:r>
              <w:rPr>
                <w:rFonts w:ascii="Times New Roman;serif" w:hAnsi="Times New Roman;serif"/>
                <w:caps w:val="false"/>
                <w:smallCaps w:val="false"/>
                <w:color w:val="000000"/>
                <w:sz w:val="16"/>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21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14" w:type="dxa"/>
            <w:gridSpan w:val="6"/>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See Accompanying Notes to Unaudited Consolidated Financial Statements.</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bookmarkStart w:id="5" w:name="SE"/>
      <w:bookmarkEnd w:id="5"/>
    </w:p>
    <w:tbl>
      <w:tblPr>
        <w:tblW w:w="10205" w:type="dxa"/>
        <w:jc w:val="left"/>
        <w:tblInd w:w="0" w:type="dxa"/>
        <w:tblLayout w:type="fixed"/>
        <w:tblCellMar>
          <w:top w:w="0" w:type="dxa"/>
          <w:left w:w="0" w:type="dxa"/>
          <w:bottom w:w="0" w:type="dxa"/>
          <w:right w:w="0" w:type="dxa"/>
        </w:tblCellMar>
      </w:tblPr>
      <w:tblGrid>
        <w:gridCol w:w="2895"/>
        <w:gridCol w:w="211"/>
        <w:gridCol w:w="676"/>
        <w:gridCol w:w="109"/>
        <w:gridCol w:w="211"/>
        <w:gridCol w:w="871"/>
        <w:gridCol w:w="109"/>
        <w:gridCol w:w="211"/>
        <w:gridCol w:w="871"/>
        <w:gridCol w:w="109"/>
        <w:gridCol w:w="211"/>
        <w:gridCol w:w="933"/>
        <w:gridCol w:w="109"/>
        <w:gridCol w:w="211"/>
        <w:gridCol w:w="1231"/>
        <w:gridCol w:w="109"/>
        <w:gridCol w:w="211"/>
        <w:gridCol w:w="917"/>
      </w:tblGrid>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 CONSOLIDATED STATEMENTS OF CHANGES IN STOCKHOLDERS' EQUITY</w:t>
            </w:r>
          </w:p>
        </w:tc>
      </w:tr>
      <w:tr>
        <w:trPr/>
        <w:tc>
          <w:tcPr>
            <w:tcW w:w="10205" w:type="dxa"/>
            <w:gridSpan w:val="1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 except per share data)</w:t>
            </w:r>
          </w:p>
        </w:tc>
      </w:tr>
      <w:tr>
        <w:trPr/>
        <w:tc>
          <w:tcPr>
            <w:tcW w:w="10205" w:type="dxa"/>
            <w:gridSpan w:val="18"/>
            <w:tcBorders/>
            <w:vAlign w:val="center"/>
          </w:tcPr>
          <w:p>
            <w:pPr>
              <w:pStyle w:val="TableContents"/>
              <w:bidi w:val="0"/>
              <w:spacing w:before="0" w:after="283"/>
              <w:jc w:val="left"/>
              <w:rPr>
                <w:sz w:val="4"/>
                <w:szCs w:val="4"/>
              </w:rPr>
            </w:pPr>
            <w:r>
              <w:rPr>
                <w:sz w:val="4"/>
                <w:szCs w:val="4"/>
              </w:rPr>
            </w:r>
          </w:p>
        </w:tc>
      </w:tr>
      <w:tr>
        <w:trPr/>
        <w:tc>
          <w:tcPr>
            <w:tcW w:w="6484" w:type="dxa"/>
            <w:gridSpan w:val="11"/>
            <w:tcBorders/>
            <w:vAlign w:val="center"/>
          </w:tcPr>
          <w:p>
            <w:pPr>
              <w:pStyle w:val="TableContents"/>
              <w:bidi w:val="0"/>
              <w:spacing w:lineRule="auto" w:line="259" w:before="0" w:after="283"/>
              <w:jc w:val="left"/>
              <w:rPr>
                <w:rFonts w:ascii="Times New Roman;serif" w:hAnsi="Times New Roman;serif"/>
                <w:b/>
                <w:i/>
                <w:color w:val="000000"/>
                <w:sz w:val="20"/>
              </w:rPr>
            </w:pPr>
            <w:r>
              <w:rPr>
                <w:rFonts w:ascii="Times New Roman;serif" w:hAnsi="Times New Roman;serif"/>
                <w:b/>
                <w:i/>
                <w:color w:val="000000"/>
                <w:sz w:val="20"/>
              </w:rPr>
              <w:t>For the three months ended June 30, 2026 and 2025:</w:t>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Payable 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at Cost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289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 at March 31, 2026</w:t>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37,607</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1,603,730</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3,013,504</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(3,809,245)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2,398</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847,994</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i w:val="false"/>
                <w:caps w:val="false"/>
                <w:smallCaps w:val="false"/>
                <w:color w:val="000000"/>
                <w:sz w:val="18"/>
              </w:rPr>
              <w:t>Dividends paid ($0.60</w:t>
            </w:r>
            <w:r>
              <w:rPr>
                <w:rFonts w:ascii="Times New Roman;serif" w:hAnsi="Times New Roman;serif"/>
                <w:caps w:val="false"/>
                <w:smallCaps w:val="false"/>
                <w:color w:val="000000"/>
                <w:sz w:val="18"/>
              </w:rPr>
              <w:t xml:space="preserve"> </w:t>
            </w:r>
            <w:r>
              <w:rPr>
                <w:rFonts w:ascii="Times New Roman;serif" w:hAnsi="Times New Roman;serif"/>
                <w:b/>
                <w:i w:val="false"/>
                <w:caps w:val="false"/>
                <w:smallCaps w:val="false"/>
                <w:color w:val="000000"/>
                <w:sz w:val="18"/>
              </w:rPr>
              <w:t>per share)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(7,876)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(7,876)</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awards and exercise of stock options</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13,904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13,910</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Purchases of treasury stock</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(89,839)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(89,839)</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Excise tax on share repurchase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(872)</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(510)</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 at June 30, 2026</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37,613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1,617,125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3,073,331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830,510</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Payable 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at Cost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289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March 31, 2025</w:t>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37,535</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1,538,419</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2,786,264</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(3,182,718)</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2,262</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1,181,762</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paid ($0.50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(7,217)</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awards and exercise of stock options</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36,803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(23,413)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13,448</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Purchases of treasury stock</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(42,945)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(42,945)</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944</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June 30, 2025</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37,593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1,576,165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2,831,540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(3,249,115)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1,198,485</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See Accompanying Notes to Unaudited Consolidated Financial Statements.</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895"/>
        <w:gridCol w:w="211"/>
        <w:gridCol w:w="676"/>
        <w:gridCol w:w="109"/>
        <w:gridCol w:w="211"/>
        <w:gridCol w:w="871"/>
        <w:gridCol w:w="109"/>
        <w:gridCol w:w="211"/>
        <w:gridCol w:w="871"/>
        <w:gridCol w:w="109"/>
        <w:gridCol w:w="211"/>
        <w:gridCol w:w="933"/>
        <w:gridCol w:w="109"/>
        <w:gridCol w:w="211"/>
        <w:gridCol w:w="1231"/>
        <w:gridCol w:w="109"/>
        <w:gridCol w:w="211"/>
        <w:gridCol w:w="917"/>
      </w:tblGrid>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 CONSOLIDATED STATEMENTS OF CHANGES IN STOCKHOLDERS' EQUITY</w:t>
            </w:r>
          </w:p>
        </w:tc>
      </w:tr>
      <w:tr>
        <w:trPr/>
        <w:tc>
          <w:tcPr>
            <w:tcW w:w="10205" w:type="dxa"/>
            <w:gridSpan w:val="1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 except per share data)</w:t>
            </w:r>
          </w:p>
        </w:tc>
      </w:tr>
      <w:tr>
        <w:trPr/>
        <w:tc>
          <w:tcPr>
            <w:tcW w:w="6484" w:type="dxa"/>
            <w:gridSpan w:val="11"/>
            <w:tcBorders/>
            <w:vAlign w:val="center"/>
          </w:tcPr>
          <w:p>
            <w:pPr>
              <w:pStyle w:val="TableContents"/>
              <w:bidi w:val="0"/>
              <w:spacing w:lineRule="auto" w:line="259" w:before="0" w:after="283"/>
              <w:jc w:val="left"/>
              <w:rPr>
                <w:rFonts w:ascii="Times New Roman;serif" w:hAnsi="Times New Roman;serif"/>
                <w:b/>
                <w:i/>
                <w:color w:val="000000"/>
                <w:sz w:val="20"/>
              </w:rPr>
            </w:pPr>
            <w:r>
              <w:rPr>
                <w:rFonts w:ascii="Times New Roman;serif" w:hAnsi="Times New Roman;serif"/>
                <w:b/>
                <w:i/>
                <w:color w:val="000000"/>
                <w:sz w:val="20"/>
              </w:rPr>
              <w:t>For the six months ended June 30, 2026 and 2025:</w:t>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Payable 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at Cost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r>
      <w:tr>
        <w:trPr/>
        <w:tc>
          <w:tcPr>
            <w:tcW w:w="289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 at December 31, 2025</w:t>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37,595</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1,592,197</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2,955,375</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(3,608,117)</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2,355</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979,405</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i w:val="false"/>
                <w:caps w:val="false"/>
                <w:smallCaps w:val="false"/>
                <w:color w:val="000000"/>
                <w:sz w:val="18"/>
              </w:rPr>
              <w:t>Dividends paid ($1.20</w:t>
            </w:r>
            <w:r>
              <w:rPr>
                <w:rFonts w:ascii="Times New Roman;serif" w:hAnsi="Times New Roman;serif"/>
                <w:caps w:val="false"/>
                <w:smallCaps w:val="false"/>
                <w:color w:val="000000"/>
                <w:sz w:val="18"/>
              </w:rPr>
              <w:t xml:space="preserve"> </w:t>
            </w:r>
            <w:r>
              <w:rPr>
                <w:rFonts w:ascii="Times New Roman;serif" w:hAnsi="Times New Roman;serif"/>
                <w:b/>
                <w:i w:val="false"/>
                <w:caps w:val="false"/>
                <w:smallCaps w:val="false"/>
                <w:color w:val="000000"/>
                <w:sz w:val="18"/>
              </w:rPr>
              <w:t>per share)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(16,049)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(16,049)</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awards and exercise of stock options</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25,839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24,375</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Purchases of treasury stock</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(287,521)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(287,521)</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Excise tax on share repurchase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(2,792)</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(913)</w:t>
            </w:r>
          </w:p>
        </w:tc>
      </w:tr>
      <w:tr>
        <w:trPr/>
        <w:tc>
          <w:tcPr>
            <w:tcW w:w="28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 at June 30, 2026</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37,613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1,617,125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3,073,331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830,510</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Payable 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at Cost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289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2024</w:t>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37,422</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1,484,176</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2,721,832</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(3,126,660)</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2,223</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1,118,993</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paid ($1.00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(14,542)</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awards and exercise of stock options</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90,875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(49,675)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41,371</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Purchases of treasury stock</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(72,701)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(72,701)</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1,114</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June 30, 2025</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37,593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1,576,165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2,831,540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(3,249,115)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1,198,485</w:t>
            </w:r>
            <w:r>
              <w:rPr>
                <w:rFonts w:ascii="Times New Roman;serif" w:hAnsi="Times New Roman;serif"/>
                <w:caps w:val="false"/>
                <w:smallCaps w:val="false"/>
                <w:color w:val="000000"/>
                <w:sz w:val="16"/>
              </w:rPr>
              <w:t> </w:t>
            </w:r>
          </w:p>
        </w:tc>
      </w:tr>
      <w:tr>
        <w:trPr/>
        <w:tc>
          <w:tcPr>
            <w:tcW w:w="2895"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See Accompanying Notes to Unaudited Consolidated Financial Statements.</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tbl>
      <w:tblPr>
        <w:tblW w:w="2022"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CHEMED CORPORATION AND SUBSIDIARY COMPANIES</w:t>
      </w:r>
      <w:bookmarkStart w:id="6" w:name="Notes"/>
      <w:bookmarkEnd w:id="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Unaudited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    Basis of Presentation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used herein, the terms “We,” “Company” and “Chemed” refer to Chemed Corporation or Chemed Corporation and its consolidated subsidiaries.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prepared the accompanying unaudited consolidated financial statements of Chemed in accordance with Rule 10-01 of SEC Regulation S-X. Consequently, we have omitted certain disclosures required under generally accepted accounting principles in the United States (“GAAP”) for complete financial statements. The December 31, 2025 balance sheet data were derived from audited financial statements but do not include all disclosures required by GAAP. However, in our opinion, the financial statements presented herein contain all adjustments, consisting only of normal recurring adjustments, necessary to state fairly our financial position, results of operations and cash flows. The results of operations for the six months ended June 30, 2026 are not necessarily indicative of the results that may be expected for the year ending December 31, 2026 or any other future period, and we make no representations related thereto. These financial statements are prepared on the same basis as and should be read in conjunction with the audited Consolidated Financial Statements and related Notes included in our Annual Report on Form 10-K for the year ended December 31, 2025.</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income tax rate was 25.9% in the second quarter of 2026 compared to 26.2% during the second quarter of 2025. Excess tax expense/benefit on stock options exercised were immaterial for the quarters ended June 30, 2026 and 2025, respectively.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tax rate reconciliation is as follows (in thousands):</w:t>
      </w:r>
    </w:p>
    <w:tbl>
      <w:tblPr>
        <w:tblW w:w="7037" w:type="dxa"/>
        <w:jc w:val="left"/>
        <w:tblInd w:w="0" w:type="dxa"/>
        <w:tblLayout w:type="fixed"/>
        <w:tblCellMar>
          <w:top w:w="0" w:type="dxa"/>
          <w:left w:w="0" w:type="dxa"/>
          <w:bottom w:w="0" w:type="dxa"/>
          <w:right w:w="0" w:type="dxa"/>
        </w:tblCellMar>
      </w:tblPr>
      <w:tblGrid>
        <w:gridCol w:w="4261"/>
        <w:gridCol w:w="109"/>
        <w:gridCol w:w="229"/>
        <w:gridCol w:w="757"/>
        <w:gridCol w:w="282"/>
        <w:gridCol w:w="127"/>
        <w:gridCol w:w="229"/>
        <w:gridCol w:w="757"/>
        <w:gridCol w:w="286"/>
      </w:tblGrid>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Income tax provision calculated at the statutory federal</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rate</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19,179</w:t>
            </w:r>
            <w:r>
              <w:rPr>
                <w:rFonts w:ascii="Times New Roman;serif" w:hAnsi="Times New Roman;serif"/>
                <w:caps w:val="false"/>
                <w:smallCaps w:val="false"/>
                <w:sz w:val="16"/>
              </w:rPr>
              <w:t>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14,934</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State and local income taxes, less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2,811</w:t>
            </w:r>
            <w:r>
              <w:rPr>
                <w:rFonts w:ascii="Times New Roman;serif" w:hAnsi="Times New Roman;serif"/>
                <w:caps w:val="false"/>
                <w:smallCaps w:val="false"/>
                <w:sz w:val="16"/>
              </w:rPr>
              <w:t>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2,261</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 compensation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445</w:t>
            </w:r>
            <w:r>
              <w:rPr>
                <w:rFonts w:ascii="Times New Roman;serif" w:hAnsi="Times New Roman;serif"/>
                <w:caps w:val="false"/>
                <w:smallCaps w:val="false"/>
                <w:sz w:val="16"/>
              </w:rPr>
              <w:t>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Other--net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1,191</w:t>
            </w:r>
            <w:r>
              <w:rPr>
                <w:rFonts w:ascii="Times New Roman;serif" w:hAnsi="Times New Roman;serif"/>
                <w:caps w:val="false"/>
                <w:smallCaps w:val="false"/>
                <w:sz w:val="16"/>
              </w:rPr>
              <w:t>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1,477</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23,626</w:t>
            </w:r>
            <w:r>
              <w:rPr>
                <w:rFonts w:ascii="Times New Roman;serif" w:hAnsi="Times New Roman;serif"/>
                <w:caps w:val="false"/>
                <w:smallCaps w:val="false"/>
                <w:sz w:val="16"/>
              </w:rPr>
              <w:t>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18,622</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25.9</w:t>
            </w:r>
            <w:r>
              <w:rPr>
                <w:rFonts w:ascii="Times New Roman;serif" w:hAnsi="Times New Roman;serif"/>
                <w:caps w:val="false"/>
                <w:smallCaps w:val="false"/>
                <w:sz w:val="16"/>
              </w:rPr>
              <w:t> </w:t>
            </w:r>
          </w:p>
        </w:tc>
        <w:tc>
          <w:tcPr>
            <w:tcW w:w="2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26.2</w:t>
            </w:r>
            <w:r>
              <w:rPr>
                <w:rFonts w:ascii="Times New Roman;serif" w:hAnsi="Times New Roman;serif"/>
                <w:caps w:val="false"/>
                <w:smallCaps w:val="false"/>
                <w:sz w:val="16"/>
              </w:rPr>
              <w:t> </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income tax rate was 25.6% in the first six months of 2026 compared to 25.5% during the first six months of 2025. Excess tax expense/benefit on stock options exercised were immaterial for the first six months ended June 30, 2026 and 2025, respectively.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tax rate reconciliation is as follows (in thousands):</w:t>
      </w:r>
    </w:p>
    <w:tbl>
      <w:tblPr>
        <w:tblW w:w="6829" w:type="dxa"/>
        <w:jc w:val="left"/>
        <w:tblInd w:w="0" w:type="dxa"/>
        <w:tblLayout w:type="fixed"/>
        <w:tblCellMar>
          <w:top w:w="0" w:type="dxa"/>
          <w:left w:w="0" w:type="dxa"/>
          <w:bottom w:w="0" w:type="dxa"/>
          <w:right w:w="0" w:type="dxa"/>
        </w:tblCellMar>
      </w:tblPr>
      <w:tblGrid>
        <w:gridCol w:w="4261"/>
        <w:gridCol w:w="109"/>
        <w:gridCol w:w="209"/>
        <w:gridCol w:w="691"/>
        <w:gridCol w:w="257"/>
        <w:gridCol w:w="116"/>
        <w:gridCol w:w="209"/>
        <w:gridCol w:w="691"/>
        <w:gridCol w:w="286"/>
      </w:tblGrid>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3"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 calculated at the statutory federal rate</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37,835</w:t>
            </w:r>
            <w:r>
              <w:rPr>
                <w:rFonts w:ascii="Times New Roman;serif" w:hAnsi="Times New Roman;serif"/>
                <w:caps w:val="false"/>
                <w:smallCaps w:val="false"/>
                <w:sz w:val="16"/>
              </w:rPr>
              <w:t>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35,026</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State and local income taxes, less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5,529</w:t>
            </w:r>
            <w:r>
              <w:rPr>
                <w:rFonts w:ascii="Times New Roman;serif" w:hAnsi="Times New Roman;serif"/>
                <w:caps w:val="false"/>
                <w:smallCaps w:val="false"/>
                <w:sz w:val="16"/>
              </w:rPr>
              <w:t>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6,448</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 compensation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501</w:t>
            </w:r>
            <w:r>
              <w:rPr>
                <w:rFonts w:ascii="Times New Roman;serif" w:hAnsi="Times New Roman;serif"/>
                <w:caps w:val="false"/>
                <w:smallCaps w:val="false"/>
                <w:sz w:val="16"/>
              </w:rPr>
              <w:t>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(513)</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Other--net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2,299</w:t>
            </w:r>
            <w:r>
              <w:rPr>
                <w:rFonts w:ascii="Times New Roman;serif" w:hAnsi="Times New Roman;serif"/>
                <w:caps w:val="false"/>
                <w:smallCaps w:val="false"/>
                <w:sz w:val="16"/>
              </w:rPr>
              <w:t>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1,578</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46,164</w:t>
            </w:r>
            <w:r>
              <w:rPr>
                <w:rFonts w:ascii="Times New Roman;serif" w:hAnsi="Times New Roman;serif"/>
                <w:caps w:val="false"/>
                <w:smallCaps w:val="false"/>
                <w:sz w:val="16"/>
              </w:rPr>
              <w:t>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42,539</w:t>
            </w:r>
            <w:r>
              <w:rPr>
                <w:rFonts w:ascii="Times New Roman;serif" w:hAnsi="Times New Roman;serif"/>
                <w:caps w:val="false"/>
                <w:smallCaps w:val="false"/>
                <w:sz w:val="16"/>
              </w:rPr>
              <w:t>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25.6</w:t>
            </w:r>
            <w:r>
              <w:rPr>
                <w:rFonts w:ascii="Times New Roman;serif" w:hAnsi="Times New Roman;serif"/>
                <w:caps w:val="false"/>
                <w:smallCaps w:val="false"/>
                <w:sz w:val="16"/>
              </w:rPr>
              <w:t> </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25.5</w:t>
            </w:r>
            <w:r>
              <w:rPr>
                <w:rFonts w:ascii="Times New Roman;serif" w:hAnsi="Times New Roman;serif"/>
                <w:caps w:val="false"/>
                <w:smallCaps w:val="false"/>
                <w:sz w:val="16"/>
              </w:rPr>
              <w:t> </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NON-CASH TRANSACTIONS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the accompanying Consolidated Balance Sheets are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capitalized property and equipment which were not paid for as of June 30, 2026 and December 31, 2025, respectively. Accrued property and equipment purchases have been excluded from capital expenditures in the accompanying Consolidated Statements of Cash Flows. There are no material non-cash amounts included in interest expense for any period presented.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BUSINESS COMBINATIONS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 See Note 15 for discussion of recent acquisitions.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 Disclosures of after-tax expenses and adjustments are based on estimates of the effective income tax rates for the applicable segments.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    Revenue Recognition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May 2014, the FASB issued Accounting Standards Update “ASU No. 2014-09 – Revenue from Contracts with Customers.” The standard and subsequent amendments are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 </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VITAS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Hospice services are provided on a daily basis and the type of service provided is determined based on a physician’s determination of each patient’s specific needs on that given day. Reimbursement rates for hospice services are on a </w:t>
      </w:r>
      <w:r>
        <w:rPr>
          <w:rFonts w:ascii="Times New Roman;serif" w:hAnsi="Times New Roman;serif"/>
          <w:b w:val="false"/>
          <w:i/>
          <w:sz w:val="20"/>
        </w:rPr>
        <w:t>per diem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Routine Home Care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occurs when a patient receives hospice care in their home, including a nursing home setting. The routine home care rate is paid for each day that a patient is in a hospice program and is not receiving one of the other categories of hospice care. For Medicare patients, the routine home care rate reflects a two-tiered rate, with a higher rate for the first 60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days of a hospice patient’s care and a lower rate for days 61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after. In addition, there is a Service Intensity Add-on payment which covers direct home care visits conducted by a registered nurse or social worker in the last seven days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of a hospice patient’s life, reimbursed up to 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hours per day in 15 minute increments at the continuous home care rate.</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General Inpatient Care </w:t>
      </w:r>
      <w:r>
        <w:rPr>
          <w:rFonts w:ascii="Times New Roman;serif" w:hAnsi="Times New Roman;serif"/>
          <w:b w:val="false"/>
          <w:i w:val="false"/>
          <w:caps w:val="false"/>
          <w:smallCaps w:val="false"/>
          <w:color w:val="000000"/>
          <w:sz w:val="20"/>
        </w:rPr>
        <w:t>occurs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when a patient requires services in a controlled setting for a short period of time for pain control or symptom management which cannot be managed in other settings. General inpatient care services must be provided in a Medicare or Medicaid certified hospital or long-term care facility or at a freestanding inpatient hospice facility with the required registered nurse staffing.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Continuous Home Care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 provided to patients while at home, including a nursing home setting, during periods of crisis when intensive monitoring and care, primarily nursing care, is required in order to achieve palliation or management of acute medical symptoms. Continuous home care requires a minimum of 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hours of care within a 24-hour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Respite Care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permits a hospice patient to receive services on an inpatient basis for a short period of time in order to provide relief for the patient’s family or other caregivers from the demands of caring for the patient.  A hospice can receive payment for respite care for a given patient for up to five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consecutive days at a time, after which respite care is reimbursed at the routine home care rate.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after discharge.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Care is provided to patients regardless of their ability to pay. Patients who meet our criteria for charity care are provided care without charge. There is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revenue or associated accounts receivable in the accompanying Consolidated Financial Statements related to charity care. The cost of providing charity care for the quarters ended June 30, 2026 and 2025 was $2.2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cost of providing charity care for the first six months ended June 30, 2026 and 2025 was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cost of charity care is included in cost of services provided and goods sold and is calculated by taking the ratio of charity care days to total days of care and multiplying by the total cost of care.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Laws and regulations concerning government programs, including Medicare and Medicaid, are complex and subject to varying interpretation and change over time. Medicare and Medicaid programs have broad authority to audit and review compliance with such laws and regulations and impose payment suspensions or modifications when merited.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are subject to certain limitations on Medicare payments for services which are considered variable consideration, as follows: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Inpatient Cap. </w:t>
      </w:r>
      <w:r>
        <w:rPr>
          <w:rFonts w:ascii="Times New Roman;serif" w:hAnsi="Times New Roman;serif"/>
          <w:b w:val="false"/>
          <w:i w:val="false"/>
          <w:caps w:val="false"/>
          <w:smallCaps w:val="false"/>
          <w:color w:val="000000"/>
          <w:sz w:val="20"/>
        </w:rPr>
        <w:t>If the number of inpatient care days any hospice program provides to Medicare beneficiaries exceeds 20% of the total days of hospice care such program provided to all Medicare patients for an annual period beginning September 28, the days in excess of the 20% figure may be reimbursed only at the routine homecare rate. None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of VITAS’ hospice programs exceeded the payment limits on inpatient services during the six months ended June 30, 2026 and 2025.</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Medicare Cap. </w:t>
      </w:r>
      <w:r>
        <w:rPr>
          <w:rFonts w:ascii="Times New Roman;serif" w:hAnsi="Times New Roman;serif"/>
          <w:b w:val="false"/>
          <w:i w:val="false"/>
          <w:caps w:val="false"/>
          <w:smallCaps w:val="false"/>
          <w:color w:val="000000"/>
          <w:sz w:val="20"/>
        </w:rPr>
        <w:t xml:space="preserve">We are also subject to a Medicare annual per-beneficiary cap (“Medicare Cap”). Compliance with the Medicare Cap is 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w:t>
      </w:r>
      <w:r>
        <w:rPr>
          <w:rFonts w:ascii="Times New Roman;serif" w:hAnsi="Times New Roman;serif"/>
          <w:b w:val="false"/>
          <w:i w:val="false"/>
          <w:caps w:val="false"/>
          <w:smallCaps w:val="false"/>
          <w:sz w:val="20"/>
        </w:rPr>
        <w:t>June 30</w:t>
      </w:r>
      <w:r>
        <w:rPr>
          <w:rFonts w:ascii="Times New Roman;serif" w:hAnsi="Times New Roman;serif"/>
          <w:b w:val="false"/>
          <w:i w:val="false"/>
          <w:caps w:val="false"/>
          <w:smallCaps w:val="false"/>
          <w:color w:val="000000"/>
          <w:sz w:val="20"/>
        </w:rPr>
        <w:t>, 2026, all our programs except three are using the “streamlined” method.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composition of patient care service revenue by payor and level of care for the quarter ended June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30</w:t>
      </w:r>
      <w:r>
        <w:rPr>
          <w:rFonts w:ascii="Times New Roman;serif" w:hAnsi="Times New Roman;serif"/>
          <w:b w:val="false"/>
          <w:i w:val="false"/>
          <w:caps w:val="false"/>
          <w:smallCaps w:val="false"/>
          <w:color w:val="000000"/>
          <w:sz w:val="20"/>
        </w:rPr>
        <w:t>, 2026 is as follows (in thousands):</w:t>
      </w:r>
    </w:p>
    <w:tbl>
      <w:tblPr>
        <w:tblW w:w="7610" w:type="dxa"/>
        <w:jc w:val="left"/>
        <w:tblInd w:w="0" w:type="dxa"/>
        <w:tblLayout w:type="fixed"/>
        <w:tblCellMar>
          <w:top w:w="0" w:type="dxa"/>
          <w:left w:w="0" w:type="dxa"/>
          <w:bottom w:w="0" w:type="dxa"/>
          <w:right w:w="0" w:type="dxa"/>
        </w:tblCellMar>
      </w:tblPr>
      <w:tblGrid>
        <w:gridCol w:w="3496"/>
        <w:gridCol w:w="196"/>
        <w:gridCol w:w="736"/>
        <w:gridCol w:w="109"/>
        <w:gridCol w:w="196"/>
        <w:gridCol w:w="646"/>
        <w:gridCol w:w="109"/>
        <w:gridCol w:w="241"/>
        <w:gridCol w:w="795"/>
        <w:gridCol w:w="109"/>
        <w:gridCol w:w="196"/>
        <w:gridCol w:w="781"/>
      </w:tblGrid>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Medicare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Medicaid</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Routine home care</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369,992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6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13,001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8,355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391,348</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Inpatient care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30,854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35,673</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Continuous care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17,792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583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1,021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19,396</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418,638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15,929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9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11,850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446,417</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All other revenue - self-pay, respite care, etc.</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6,206</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Subtotal</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452,623</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Medicare cap adjustment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(500)</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Implicit price concessions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(4,844)</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Room and board, net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(3,938)</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revenue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443,341</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composition of patient care service revenue by payor and level of care for the quarter ended </w:t>
      </w:r>
      <w:r>
        <w:rPr>
          <w:rFonts w:ascii="Times New Roman;serif" w:hAnsi="Times New Roman;serif"/>
          <w:b w:val="false"/>
          <w:i w:val="false"/>
          <w:caps w:val="false"/>
          <w:smallCaps w:val="false"/>
          <w:sz w:val="20"/>
        </w:rPr>
        <w:t>June 30</w:t>
      </w:r>
      <w:r>
        <w:rPr>
          <w:rFonts w:ascii="Times New Roman;serif" w:hAnsi="Times New Roman;serif"/>
          <w:b w:val="false"/>
          <w:i w:val="false"/>
          <w:caps w:val="false"/>
          <w:smallCaps w:val="false"/>
          <w:color w:val="000000"/>
          <w:sz w:val="20"/>
        </w:rPr>
        <w:t>, 2025 is as follows (in thousands):</w:t>
      </w:r>
    </w:p>
    <w:tbl>
      <w:tblPr>
        <w:tblW w:w="7325" w:type="dxa"/>
        <w:jc w:val="left"/>
        <w:tblInd w:w="0" w:type="dxa"/>
        <w:tblLayout w:type="fixed"/>
        <w:tblCellMar>
          <w:top w:w="0" w:type="dxa"/>
          <w:left w:w="0" w:type="dxa"/>
          <w:bottom w:w="0" w:type="dxa"/>
          <w:right w:w="0" w:type="dxa"/>
        </w:tblCellMar>
      </w:tblPr>
      <w:tblGrid>
        <w:gridCol w:w="3286"/>
        <w:gridCol w:w="196"/>
        <w:gridCol w:w="736"/>
        <w:gridCol w:w="109"/>
        <w:gridCol w:w="196"/>
        <w:gridCol w:w="646"/>
        <w:gridCol w:w="109"/>
        <w:gridCol w:w="223"/>
        <w:gridCol w:w="738"/>
        <w:gridCol w:w="109"/>
        <w:gridCol w:w="196"/>
        <w:gridCol w:w="78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Medicaid</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 care</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338,148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11,274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8,620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358,042</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Inpatient care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28,797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2,226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33,023</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21,934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23,640</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388,879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13,910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11,916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414,705</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All other revenue - self-pay, respite care, etc.</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5,747</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420,452</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 cap adjustment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(16,375)</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(3,984)</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Room and board, net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(3,892)</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396,201</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composition of patient care service revenue by payor and level of care for the six months ended June 30, 2026 is as follows (in thousands): </w:t>
      </w:r>
    </w:p>
    <w:tbl>
      <w:tblPr>
        <w:tblW w:w="7610" w:type="dxa"/>
        <w:jc w:val="left"/>
        <w:tblInd w:w="0" w:type="dxa"/>
        <w:tblLayout w:type="fixed"/>
        <w:tblCellMar>
          <w:top w:w="0" w:type="dxa"/>
          <w:left w:w="0" w:type="dxa"/>
          <w:bottom w:w="0" w:type="dxa"/>
          <w:right w:w="0" w:type="dxa"/>
        </w:tblCellMar>
      </w:tblPr>
      <w:tblGrid>
        <w:gridCol w:w="3496"/>
        <w:gridCol w:w="196"/>
        <w:gridCol w:w="736"/>
        <w:gridCol w:w="109"/>
        <w:gridCol w:w="196"/>
        <w:gridCol w:w="646"/>
        <w:gridCol w:w="109"/>
        <w:gridCol w:w="241"/>
        <w:gridCol w:w="795"/>
        <w:gridCol w:w="109"/>
        <w:gridCol w:w="196"/>
        <w:gridCol w:w="781"/>
      </w:tblGrid>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Medicare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Medicaid</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Routine home care</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720,068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6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25,555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16,815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762,438</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Inpatient care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62,304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4,672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4,623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71,599</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Continuous care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34,376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2,020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37,530</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816,748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31,361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9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23,458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871,567</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All other revenue - self-pay, respite care, etc.</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11,783</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Subtotal</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883,350</w:t>
            </w:r>
            <w:r>
              <w:rPr>
                <w:rFonts w:ascii="Times New Roman;serif" w:hAnsi="Times New Roman;serif"/>
                <w:caps w:val="false"/>
                <w:smallCaps w:val="false"/>
                <w:color w:val="000000"/>
                <w:sz w:val="16"/>
              </w:rPr>
              <w:t> </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Medicare cap adjustment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(2,875)</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Implicit price concessions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(9,921)</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Room and board, net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(7,196)</w:t>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revenue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863,358</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composition of patient care service revenue by payor and level of care for the six months ended June 30, 2025 is as follows (in thousands):</w:t>
      </w:r>
    </w:p>
    <w:tbl>
      <w:tblPr>
        <w:tblW w:w="7325" w:type="dxa"/>
        <w:jc w:val="left"/>
        <w:tblInd w:w="0" w:type="dxa"/>
        <w:tblLayout w:type="fixed"/>
        <w:tblCellMar>
          <w:top w:w="0" w:type="dxa"/>
          <w:left w:w="0" w:type="dxa"/>
          <w:bottom w:w="0" w:type="dxa"/>
          <w:right w:w="0" w:type="dxa"/>
        </w:tblCellMar>
      </w:tblPr>
      <w:tblGrid>
        <w:gridCol w:w="3286"/>
        <w:gridCol w:w="196"/>
        <w:gridCol w:w="736"/>
        <w:gridCol w:w="109"/>
        <w:gridCol w:w="196"/>
        <w:gridCol w:w="646"/>
        <w:gridCol w:w="109"/>
        <w:gridCol w:w="223"/>
        <w:gridCol w:w="738"/>
        <w:gridCol w:w="109"/>
        <w:gridCol w:w="196"/>
        <w:gridCol w:w="78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Medicaid</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 care</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670,788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22,311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16,509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709,608</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Inpatient care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58,341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67,045</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44,779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48,276</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773,908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27,854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23,167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824,929</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All other revenue - self-pay, respite care, etc.</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11,092</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836,021</w:t>
            </w:r>
            <w:r>
              <w:rPr>
                <w:rFonts w:ascii="Times New Roman;serif" w:hAnsi="Times New Roman;serif"/>
                <w:caps w:val="false"/>
                <w:smallCaps w:val="false"/>
                <w:color w:val="000000"/>
                <w:sz w:val="16"/>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 cap adjustment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(18,700)</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(6,304)</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Room and board, net</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(7,417)</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803,600</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Roto-Rooter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Roto-Rooter provides plumbing, drain cleaning, excavation,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pStyle w:val="TextBody"/>
        <w:bidi w:val="0"/>
        <w:spacing w:lineRule="auto" w:line="259"/>
        <w:rPr>
          <w:rFonts w:ascii="Times New Roman;serif" w:hAnsi="Times New Roman;serif"/>
          <w:sz w:val="20"/>
        </w:rPr>
      </w:pPr>
      <w:r>
        <w:rPr>
          <w:rFonts w:ascii="Times New Roman;serif" w:hAnsi="Times New Roman;serif"/>
          <w:b w:val="false"/>
          <w:i/>
          <w:sz w:val="20"/>
        </w:rPr>
        <w:t>Short-term Core Services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are plumbing, drain and sewer cleaning and excavation services. These services are provided to both commercial and residential customers. The duration of services provided in this category range from a few hours to a few days. There are no significant warranty costs or on-going obligations to the customer once a service has been completed. For residential customers, payment is received at the time of job completion before the Roto-Rooter technician leaves the residence. Commercial customers may be granted credit subject to internally designated authority limits and credit check guidelines. If credit is granted, payment terms are generally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days or less.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Water Restoration Services </w:t>
      </w:r>
      <w:r>
        <w:rPr>
          <w:rFonts w:ascii="Times New Roman;serif" w:hAnsi="Times New Roman;serif"/>
          <w:b w:val="false"/>
          <w:i w:val="false"/>
          <w:caps w:val="false"/>
          <w:smallCaps w:val="false"/>
          <w:sz w:val="20"/>
        </w:rPr>
        <w:t>involve the remediation of water and humidity after a flood. These services are provided to both commercial and residential customers. The duration of services provided in this category generally ranges from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days. There are no significant warranties or on-going obligations to the customer once service has been completed. The majority of these services are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by the customer’s insurance company. Variable consideration relates primarily to allowances taken by insurance companies upon payment. Variable consideration is estimated based on historical activity and recorded at the time service is completed.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Roto-Rooter owns the rights to certain territories and contracts with independent third-parties to operate the territory under Roto-Rooter’s registered trademarks (“independent contractors”). Such contracts are for a specified term but cancellable by either party without penalty with 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Roto-Rooter has licensed the rights to operate under Roto-Rooter’s registered trademarks in other territories to franchisees. Each such contract is for a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 term but cancellable by Roto-Rooter for cause with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day advance notice without penalty. The franchisee may cancel the contract for any reason with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day-to-day management of the business including staffing decisions, pricing of services provided and local advertising spend and placement. All performance obligations of Roto-Rooter cease at the termination of the arrangement.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w:t>
      </w:r>
      <w:r>
        <w:rPr>
          <w:rFonts w:ascii="Times New Roman;serif" w:hAnsi="Times New Roman;serif"/>
          <w:b w:val="false"/>
          <w:i w:val="false"/>
          <w:caps w:val="false"/>
          <w:smallCaps w:val="false"/>
          <w:sz w:val="20"/>
        </w:rPr>
        <w:t>composition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of disaggregated revenue for the second quarter is as follows (in thousands): </w:t>
      </w:r>
    </w:p>
    <w:tbl>
      <w:tblPr>
        <w:tblW w:w="5259" w:type="dxa"/>
        <w:jc w:val="left"/>
        <w:tblInd w:w="0" w:type="dxa"/>
        <w:tblLayout w:type="fixed"/>
        <w:tblCellMar>
          <w:top w:w="0" w:type="dxa"/>
          <w:left w:w="0" w:type="dxa"/>
          <w:bottom w:w="0" w:type="dxa"/>
          <w:right w:w="0" w:type="dxa"/>
        </w:tblCellMar>
      </w:tblPr>
      <w:tblGrid>
        <w:gridCol w:w="3241"/>
        <w:gridCol w:w="196"/>
        <w:gridCol w:w="736"/>
        <w:gridCol w:w="109"/>
        <w:gridCol w:w="196"/>
        <w:gridCol w:w="781"/>
      </w:tblGrid>
      <w:tr>
        <w:trPr/>
        <w:tc>
          <w:tcPr>
            <w:tcW w:w="3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283"/>
              <w:jc w:val="left"/>
              <w:rPr>
                <w:sz w:val="4"/>
                <w:szCs w:val="4"/>
              </w:rPr>
            </w:pPr>
            <w:r>
              <w:rPr>
                <w:sz w:val="4"/>
                <w:szCs w:val="4"/>
              </w:rPr>
            </w:r>
          </w:p>
        </w:tc>
        <w:tc>
          <w:tcPr>
            <w:tcW w:w="201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r>
      <w:tr>
        <w:trPr/>
        <w:tc>
          <w:tcPr>
            <w:tcW w:w="324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Drain cleaning</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57,501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55,557</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Plumbing</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47,901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45,284</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Excavation</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61,563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56,493</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187</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 short term core</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167,237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157,521</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restoration</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46,857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49,824</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Independent contractors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17,118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17,449</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Franchisee fees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1,405</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4,297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4,783</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Gross revenue</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236,952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230,982</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 and credit memos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(7,042)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(8,385)</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229,910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222,597</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composition of disaggregated revenue for the first six months is as follows (in thousands):</w:t>
      </w:r>
    </w:p>
    <w:tbl>
      <w:tblPr>
        <w:tblW w:w="5259" w:type="dxa"/>
        <w:jc w:val="left"/>
        <w:tblInd w:w="0" w:type="dxa"/>
        <w:tblLayout w:type="fixed"/>
        <w:tblCellMar>
          <w:top w:w="0" w:type="dxa"/>
          <w:left w:w="0" w:type="dxa"/>
          <w:bottom w:w="0" w:type="dxa"/>
          <w:right w:w="0" w:type="dxa"/>
        </w:tblCellMar>
      </w:tblPr>
      <w:tblGrid>
        <w:gridCol w:w="3241"/>
        <w:gridCol w:w="196"/>
        <w:gridCol w:w="736"/>
        <w:gridCol w:w="109"/>
        <w:gridCol w:w="196"/>
        <w:gridCol w:w="781"/>
      </w:tblGrid>
      <w:tr>
        <w:trPr/>
        <w:tc>
          <w:tcPr>
            <w:tcW w:w="3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283"/>
              <w:jc w:val="left"/>
              <w:rPr>
                <w:sz w:val="4"/>
                <w:szCs w:val="4"/>
              </w:rPr>
            </w:pPr>
            <w:r>
              <w:rPr>
                <w:sz w:val="4"/>
                <w:szCs w:val="4"/>
              </w:rPr>
            </w:r>
          </w:p>
        </w:tc>
        <w:tc>
          <w:tcPr>
            <w:tcW w:w="201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r>
      <w:tr>
        <w:trPr/>
        <w:tc>
          <w:tcPr>
            <w:tcW w:w="324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Drain cleaning</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117,235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115,099</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Plumbing</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97,485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91,344</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Excavation</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125,073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120,731</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376</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 short term core</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340,294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327,550</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restoration</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94,706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103,987</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Independent contractors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34,884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35,811</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Franchisee fees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2,828</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9,386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9,678</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Gross revenue</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482,234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479,854</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 and credit memos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(17,713)</w:t>
            </w:r>
          </w:p>
        </w:tc>
      </w:tr>
      <w:tr>
        <w:trPr/>
        <w:tc>
          <w:tcPr>
            <w:tcW w:w="3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467,406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462,141</w:t>
            </w:r>
            <w:r>
              <w:rPr>
                <w:rFonts w:ascii="Times New Roman;serif" w:hAnsi="Times New Roman;serif"/>
                <w:caps w:val="false"/>
                <w:smallCaps w:val="false"/>
                <w:color w:val="000000"/>
                <w:sz w:val="16"/>
              </w:rPr>
              <w:t> </w:t>
            </w:r>
          </w:p>
        </w:tc>
      </w:tr>
      <w:tr>
        <w:trPr/>
        <w:tc>
          <w:tcPr>
            <w:tcW w:w="3241"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    Segments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segments include the VITAS segment and the Roto-Rooter segment, which comprise the structure used by our President and Chief Executive Officer, who has been determined to be our Chief Operating Decision Maker (“CODM”) to make key operating decisions and assess performance. Relative contributions of each segment to service revenues and sales for the second quarter of 2026 were 66% and 34%, respectively, compared to the second quarter of 2025 which were 64% and 36%, respectively. Relative contributions of each segment to service revenues and sales for the first six months of 2026 were 65% and 35%, respectively, compared to the first six months of 2025 which were 63% and 37%, respectively. The vast majority of our service revenues and sales from continuing operations are generated from business within the United States. Service revenues and sales by business segment are shown in Note 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CODM evaluates the segments’ operating performance based mainly on income/(loss) from operations. For each segment, the CODM compares segment income/(loss) from operations in the annual budgeting and monthly forecasting process to actual results.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CODM considers variances on a monthly basis for evaluating performance of each segment and making decisions about allocating resources to each segment.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data for the three months ended June 30, 2026 are as follows (in thousands):</w:t>
      </w:r>
    </w:p>
    <w:tbl>
      <w:tblPr>
        <w:tblW w:w="9463" w:type="dxa"/>
        <w:jc w:val="left"/>
        <w:tblInd w:w="0" w:type="dxa"/>
        <w:tblLayout w:type="fixed"/>
        <w:tblCellMar>
          <w:top w:w="0" w:type="dxa"/>
          <w:left w:w="0" w:type="dxa"/>
          <w:bottom w:w="0" w:type="dxa"/>
          <w:right w:w="0" w:type="dxa"/>
        </w:tblCellMar>
      </w:tblPr>
      <w:tblGrid>
        <w:gridCol w:w="3841"/>
        <w:gridCol w:w="109"/>
        <w:gridCol w:w="211"/>
        <w:gridCol w:w="736"/>
        <w:gridCol w:w="109"/>
        <w:gridCol w:w="237"/>
        <w:gridCol w:w="829"/>
        <w:gridCol w:w="109"/>
        <w:gridCol w:w="214"/>
        <w:gridCol w:w="747"/>
        <w:gridCol w:w="109"/>
        <w:gridCol w:w="211"/>
        <w:gridCol w:w="721"/>
        <w:gridCol w:w="109"/>
        <w:gridCol w:w="249"/>
        <w:gridCol w:w="922"/>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Reportable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Chemed </w:t>
            </w:r>
          </w:p>
        </w:tc>
      </w:tr>
      <w:tr>
        <w:trPr/>
        <w:tc>
          <w:tcPr>
            <w:tcW w:w="38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Segments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38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Service revenues and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443,341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2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229,910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4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673,251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673,251</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254,425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78,661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333,086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333,086</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Patient care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47,108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47,108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47,108</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36,158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35,428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71,586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71,586</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337,691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114,089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451,780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451,780</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17,959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22,660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40,619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5,325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45,944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21,793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21,793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21,793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11,300</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8,146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22,920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31,066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5,100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36,166</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26,105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67,373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93,478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21,725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115,203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5,781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8,474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14,255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14,267</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2,692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2,719</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369,632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192,678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562,310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21,737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584,047</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73,709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37,232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110,941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(21,737)</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89,204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(185)</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(1,550)</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(1,789)</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Intercompany interest income/(expense)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6,480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11,055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(11,055)</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income -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3,838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3,914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80,201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41,632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121,833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(30,504)</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91,329</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(19,290)</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(9,719)</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(29,009)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5,383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(23,626)</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60,911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31,913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4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92,824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(25,121)</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2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Additions to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6,579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21,962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28,545</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data for the three months ended June 30, 2025 are as follows (in thousands):</w:t>
      </w:r>
    </w:p>
    <w:tbl>
      <w:tblPr>
        <w:tblW w:w="8939" w:type="dxa"/>
        <w:jc w:val="left"/>
        <w:tblInd w:w="0" w:type="dxa"/>
        <w:tblLayout w:type="fixed"/>
        <w:tblCellMar>
          <w:top w:w="0" w:type="dxa"/>
          <w:left w:w="0" w:type="dxa"/>
          <w:bottom w:w="0" w:type="dxa"/>
          <w:right w:w="0" w:type="dxa"/>
        </w:tblCellMar>
      </w:tblPr>
      <w:tblGrid>
        <w:gridCol w:w="3541"/>
        <w:gridCol w:w="109"/>
        <w:gridCol w:w="196"/>
        <w:gridCol w:w="736"/>
        <w:gridCol w:w="109"/>
        <w:gridCol w:w="208"/>
        <w:gridCol w:w="783"/>
        <w:gridCol w:w="109"/>
        <w:gridCol w:w="196"/>
        <w:gridCol w:w="736"/>
        <w:gridCol w:w="109"/>
        <w:gridCol w:w="196"/>
        <w:gridCol w:w="721"/>
        <w:gridCol w:w="109"/>
        <w:gridCol w:w="216"/>
        <w:gridCol w:w="865"/>
      </w:tblGrid>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Reportable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Chemed</w:t>
            </w:r>
          </w:p>
        </w:tc>
      </w:tr>
      <w:tr>
        <w:trPr/>
        <w:tc>
          <w:tcPr>
            <w:tcW w:w="35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Segments</w:t>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r>
      <w:tr>
        <w:trPr/>
        <w:tc>
          <w:tcPr>
            <w:tcW w:w="35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396,201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222,597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618,798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618,798</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241,805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75,704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317,509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317,509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Patient care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41,008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41,008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41,008</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37,831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37,757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75,588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75,588</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320,644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113,461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434,105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434,105</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16,757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21,018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37,775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2,748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40,523</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18,943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18,943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18,943</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10,069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10,069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8,328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20,575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28,903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30,788</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25,085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60,536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85,621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100,323</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8,363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13,689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2,571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2,571</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operating expense/(income)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351,124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184,876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536,000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550,714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45,077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37,721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82,798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(14,714)</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68,084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(267)</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(443)</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Intercompany interest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5,454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9,424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(9,424)</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income -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3,390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3,474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50,545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41,585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92,130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(21,015)</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71,115</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(9,671)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(21,997)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(18,622)</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38,219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31,914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70,133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(17,640)</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6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Additions to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7,060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8,745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15,805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15,810</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data for the first six months ended June 30, 2026 are as follows (in thousands):</w:t>
      </w:r>
    </w:p>
    <w:tbl>
      <w:tblPr>
        <w:tblW w:w="9539" w:type="dxa"/>
        <w:jc w:val="left"/>
        <w:tblInd w:w="0" w:type="dxa"/>
        <w:tblLayout w:type="fixed"/>
        <w:tblCellMar>
          <w:top w:w="0" w:type="dxa"/>
          <w:left w:w="0" w:type="dxa"/>
          <w:bottom w:w="0" w:type="dxa"/>
          <w:right w:w="0" w:type="dxa"/>
        </w:tblCellMar>
      </w:tblPr>
      <w:tblGrid>
        <w:gridCol w:w="3841"/>
        <w:gridCol w:w="109"/>
        <w:gridCol w:w="196"/>
        <w:gridCol w:w="736"/>
        <w:gridCol w:w="109"/>
        <w:gridCol w:w="224"/>
        <w:gridCol w:w="842"/>
        <w:gridCol w:w="109"/>
        <w:gridCol w:w="196"/>
        <w:gridCol w:w="871"/>
        <w:gridCol w:w="109"/>
        <w:gridCol w:w="196"/>
        <w:gridCol w:w="721"/>
        <w:gridCol w:w="109"/>
        <w:gridCol w:w="206"/>
        <w:gridCol w:w="965"/>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Reportable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38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Segments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38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Service revenues and sales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863,358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4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467,406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1,330,764</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1,330,764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498,530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160,333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658,863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658,863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Patient care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92,953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92,953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92,953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71,674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70,039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141,713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141,713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663,157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230,372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893,529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893,529</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35,195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45,545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80,740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10,004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90,744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43,833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43,833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43,833</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22,055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22,055</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17,018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45,924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62,942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9,950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72,892</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52,213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135,302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187,515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42,009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229,524</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11,693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16,853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28,546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28,570</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5,236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5,289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5,289</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operating expense/(income)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70</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727,196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387,754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1,114,950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42,032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1,156,982</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136,162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79,652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215,814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(42,032)</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173,782</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(104)</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(1,876)</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(2,301)</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Intercompany interest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12,717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9,088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21,805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(21,805)</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income -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8,502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8,688</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148,936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88,444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237,380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(57,211)</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180,169</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(35,818)</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(20,747)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(56,565)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10,401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(46,164)</w:t>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113,118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67,697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180,815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(46,810)</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Additions to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13,322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4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53,057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66,379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6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66,404</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data for the first six months ended June 30, 2025 are as follows (in thousands):</w:t>
      </w:r>
    </w:p>
    <w:tbl>
      <w:tblPr>
        <w:tblW w:w="9105" w:type="dxa"/>
        <w:jc w:val="left"/>
        <w:tblInd w:w="0" w:type="dxa"/>
        <w:tblLayout w:type="fixed"/>
        <w:tblCellMar>
          <w:top w:w="0" w:type="dxa"/>
          <w:left w:w="0" w:type="dxa"/>
          <w:bottom w:w="0" w:type="dxa"/>
          <w:right w:w="0" w:type="dxa"/>
        </w:tblCellMar>
      </w:tblPr>
      <w:tblGrid>
        <w:gridCol w:w="3541"/>
        <w:gridCol w:w="109"/>
        <w:gridCol w:w="196"/>
        <w:gridCol w:w="736"/>
        <w:gridCol w:w="109"/>
        <w:gridCol w:w="208"/>
        <w:gridCol w:w="783"/>
        <w:gridCol w:w="109"/>
        <w:gridCol w:w="196"/>
        <w:gridCol w:w="871"/>
        <w:gridCol w:w="109"/>
        <w:gridCol w:w="196"/>
        <w:gridCol w:w="721"/>
        <w:gridCol w:w="109"/>
        <w:gridCol w:w="196"/>
        <w:gridCol w:w="916"/>
      </w:tblGrid>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Reportable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Chemed</w:t>
            </w:r>
          </w:p>
        </w:tc>
      </w:tr>
      <w:tr>
        <w:trPr/>
        <w:tc>
          <w:tcPr>
            <w:tcW w:w="35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Segments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r>
      <w:tr>
        <w:trPr/>
        <w:tc>
          <w:tcPr>
            <w:tcW w:w="35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803,600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462,141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1,265,741</w:t>
            </w:r>
            <w:r>
              <w:rPr>
                <w:rFonts w:ascii="Times New Roman;serif" w:hAnsi="Times New Roman;serif"/>
                <w:caps w:val="false"/>
                <w:smallCaps w:val="false"/>
                <w:color w:val="000000"/>
                <w:sz w:val="16"/>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1,265,741</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476,978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153,176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630,154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630,154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Patient care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81,387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81,387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81,387</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75,086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78,008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153,094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153,094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 of services provided and goods sold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633,451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231,184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864,635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864,635</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34,284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42,204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76,488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7,479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83,967</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37,112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37,112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37,112</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21,817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21,817</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17,340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43,868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61,208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63,014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51,624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123,184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174,808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31,102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205,910</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16,601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27,110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27,134</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5,091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5,143</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operating expense/(income)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77</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695,755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376,018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1,071,773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31,126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1,102,899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107,845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86,123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193,968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162,842</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(772)</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Intercompany interest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7,900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18,650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income -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118,610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93,794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212,404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(45,615)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166,789</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(30,361)</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(21,936)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(52,297)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9,758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(42,539)</w:t>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88,249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71,858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160,107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Additions to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11,384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18,186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29,570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29,575</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Identifiable assets by segment are as follows (in thousands):</w:t>
      </w:r>
    </w:p>
    <w:tbl>
      <w:tblPr>
        <w:tblW w:w="3952" w:type="dxa"/>
        <w:jc w:val="left"/>
        <w:tblInd w:w="0" w:type="dxa"/>
        <w:tblLayout w:type="fixed"/>
        <w:tblCellMar>
          <w:top w:w="0" w:type="dxa"/>
          <w:left w:w="0" w:type="dxa"/>
          <w:bottom w:w="0" w:type="dxa"/>
          <w:right w:w="0" w:type="dxa"/>
        </w:tblCellMar>
      </w:tblPr>
      <w:tblGrid>
        <w:gridCol w:w="1636"/>
        <w:gridCol w:w="196"/>
        <w:gridCol w:w="871"/>
        <w:gridCol w:w="109"/>
        <w:gridCol w:w="201"/>
        <w:gridCol w:w="939"/>
      </w:tblGrid>
      <w:tr>
        <w:trPr/>
        <w:tc>
          <w:tcPr>
            <w:tcW w:w="1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December 31,</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796,653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784,927</w:t>
            </w:r>
            <w:r>
              <w:rPr>
                <w:rFonts w:ascii="Times New Roman;serif" w:hAnsi="Times New Roman;serif"/>
                <w:caps w:val="false"/>
                <w:smallCaps w:val="false"/>
                <w:color w:val="000000"/>
                <w:sz w:val="16"/>
              </w:rPr>
              <w:t> </w:t>
            </w:r>
          </w:p>
        </w:tc>
      </w:tr>
      <w:tr>
        <w:trPr/>
        <w:tc>
          <w:tcPr>
            <w:tcW w:w="16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584,356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528,587</w:t>
            </w:r>
            <w:r>
              <w:rPr>
                <w:rFonts w:ascii="Times New Roman;serif" w:hAnsi="Times New Roman;serif"/>
                <w:caps w:val="false"/>
                <w:smallCaps w:val="false"/>
                <w:color w:val="000000"/>
                <w:sz w:val="16"/>
              </w:rPr>
              <w:t> </w:t>
            </w:r>
          </w:p>
        </w:tc>
      </w:tr>
      <w:tr>
        <w:trPr/>
        <w:tc>
          <w:tcPr>
            <w:tcW w:w="16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Reportable segments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1,381,009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1,313,514</w:t>
            </w:r>
            <w:r>
              <w:rPr>
                <w:rFonts w:ascii="Times New Roman;serif" w:hAnsi="Times New Roman;serif"/>
                <w:caps w:val="false"/>
                <w:smallCaps w:val="false"/>
                <w:color w:val="000000"/>
                <w:sz w:val="16"/>
              </w:rPr>
              <w:t> </w:t>
            </w:r>
          </w:p>
        </w:tc>
      </w:tr>
      <w:tr>
        <w:trPr/>
        <w:tc>
          <w:tcPr>
            <w:tcW w:w="16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198,576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224,675</w:t>
            </w:r>
            <w:r>
              <w:rPr>
                <w:rFonts w:ascii="Times New Roman;serif" w:hAnsi="Times New Roman;serif"/>
                <w:caps w:val="false"/>
                <w:smallCaps w:val="false"/>
                <w:color w:val="000000"/>
                <w:sz w:val="16"/>
              </w:rPr>
              <w:t> </w:t>
            </w:r>
          </w:p>
        </w:tc>
      </w:tr>
      <w:tr>
        <w:trPr/>
        <w:tc>
          <w:tcPr>
            <w:tcW w:w="16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Chemed consolidated</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1,579,585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1,538,189</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Earnings per share (“EPS”) are computed using the weighted average number of shares of capital stock outstanding. Earnings and diluted earnings per share are computed as follows (in thousands, except per share data):</w:t>
      </w:r>
    </w:p>
    <w:tbl>
      <w:tblPr>
        <w:tblW w:w="6615" w:type="dxa"/>
        <w:jc w:val="left"/>
        <w:tblInd w:w="0" w:type="dxa"/>
        <w:tblLayout w:type="fixed"/>
        <w:tblCellMar>
          <w:top w:w="0" w:type="dxa"/>
          <w:left w:w="0" w:type="dxa"/>
          <w:bottom w:w="0" w:type="dxa"/>
          <w:right w:w="0" w:type="dxa"/>
        </w:tblCellMar>
      </w:tblPr>
      <w:tblGrid>
        <w:gridCol w:w="598"/>
        <w:gridCol w:w="2462"/>
        <w:gridCol w:w="109"/>
        <w:gridCol w:w="196"/>
        <w:gridCol w:w="736"/>
        <w:gridCol w:w="109"/>
        <w:gridCol w:w="646"/>
        <w:gridCol w:w="109"/>
        <w:gridCol w:w="457"/>
        <w:gridCol w:w="1193"/>
      </w:tblGrid>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50"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w:t>
            </w:r>
          </w:p>
        </w:tc>
      </w:tr>
      <w:tr>
        <w:trPr/>
        <w:tc>
          <w:tcPr>
            <w:tcW w:w="30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 per Share</w:t>
            </w:r>
          </w:p>
        </w:tc>
      </w:tr>
      <w:tr>
        <w:trPr/>
        <w:tc>
          <w:tcPr>
            <w:tcW w:w="59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4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13,174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5.14</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Nonvested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Diluted 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67,703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13,199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5.13</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14,591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3.60</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Nonvested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Diluted 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52,493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3.57</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50"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w:t>
            </w:r>
          </w:p>
        </w:tc>
      </w:tr>
      <w:tr>
        <w:trPr/>
        <w:tc>
          <w:tcPr>
            <w:tcW w:w="30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 per Share</w:t>
            </w:r>
          </w:p>
        </w:tc>
      </w:tr>
      <w:tr>
        <w:trPr/>
        <w:tc>
          <w:tcPr>
            <w:tcW w:w="59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4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9.98</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Nonvested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Diluted 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134,005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13,442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i w:val="false"/>
                <w:caps w:val="false"/>
                <w:smallCaps w:val="false"/>
                <w:color w:val="000000"/>
                <w:sz w:val="16"/>
              </w:rPr>
            </w:pPr>
            <w:r>
              <w:rPr>
                <w:rFonts w:ascii="Arial;sans-serif" w:hAnsi="Arial;sans-serif"/>
                <w:b/>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9.97</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14,606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8.51</w:t>
            </w:r>
            <w:r>
              <w:rPr>
                <w:rFonts w:ascii="Times New Roman;serif" w:hAnsi="Times New Roman;serif"/>
                <w:caps w:val="false"/>
                <w:smallCaps w:val="false"/>
                <w:color w:val="000000"/>
                <w:sz w:val="16"/>
              </w:rPr>
              <w:t> </w:t>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Nonvested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Diluted 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124,250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tcMar>
              <w:bottom w:w="28" w:type="dxa"/>
            </w:tcMar>
            <w:vAlign w:val="center"/>
          </w:tcPr>
          <w:p>
            <w:pPr>
              <w:pStyle w:val="TableContents"/>
              <w:bidi w:val="0"/>
              <w:spacing w:lineRule="auto" w:line="259" w:before="0" w:after="283"/>
              <w:jc w:val="left"/>
              <w:rPr>
                <w:rFonts w:ascii="Arial;sans-serif" w:hAnsi="Arial;sans-serif"/>
                <w:b w:val="false"/>
                <w:i w:val="false"/>
                <w:caps w:val="false"/>
                <w:smallCaps w:val="false"/>
                <w:color w:val="000000"/>
                <w:sz w:val="16"/>
              </w:rPr>
            </w:pPr>
            <w:r>
              <w:rPr>
                <w:rFonts w:ascii="Arial;sans-serif" w:hAnsi="Arial;sans-serif"/>
                <w:b w:val="false"/>
                <w:i w:val="false"/>
                <w:caps w:val="false"/>
                <w:smallCaps w:val="false"/>
                <w:color w:val="000000"/>
                <w:sz w:val="16"/>
              </w:rPr>
              <w:t>$</w:t>
            </w:r>
          </w:p>
        </w:tc>
        <w:tc>
          <w:tcPr>
            <w:tcW w:w="119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8.43</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three and six months ended June 30, 2026, there were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stock options excluded from the computation of dilutive earnings per share because they would have been anti-dilutive.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three and six months ended June 30, 2025, there were 336,000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excluded from the computation of dilutive earnings per share because they would have been anti-dilutive.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    Long-Term Debt and Lines of Credit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10, 2026, we replaced our existing credit facility (the “Prior Credit Agreement”) with a sixth amended and restated Credit Agreement (“Credit Agreement”). Terms of the Credit Agreement consist of a five-year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$450.0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revolving credit facility including $100.0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letters of credit. </w:t>
      </w:r>
      <w:r>
        <w:rPr>
          <w:rFonts w:ascii="Times New Roman;serif" w:hAnsi="Times New Roman;serif"/>
          <w:b w:val="false"/>
          <w:i w:val="false"/>
          <w:caps w:val="false"/>
          <w:smallCaps w:val="false"/>
          <w:color w:val="000000"/>
          <w:sz w:val="20"/>
        </w:rPr>
        <w:t xml:space="preserve">This Credit Agreement has a floating interest rate that is the secured overnight financing rate (“SOFR”) plus an additional tiered rate which varies based on our current leverage ratio. As of </w:t>
      </w:r>
      <w:r>
        <w:rPr>
          <w:rFonts w:ascii="Times New Roman;serif" w:hAnsi="Times New Roman;serif"/>
          <w:b w:val="false"/>
          <w:i w:val="false"/>
          <w:caps w:val="false"/>
          <w:smallCaps w:val="false"/>
          <w:sz w:val="20"/>
        </w:rPr>
        <w:t>June 30</w:t>
      </w:r>
      <w:r>
        <w:rPr>
          <w:rFonts w:ascii="Times New Roman;serif" w:hAnsi="Times New Roman;serif"/>
          <w:b w:val="false"/>
          <w:i w:val="false"/>
          <w:caps w:val="false"/>
          <w:smallCaps w:val="false"/>
          <w:color w:val="000000"/>
          <w:sz w:val="20"/>
        </w:rPr>
        <w:t>, 2026, the interest rate is SOFR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plus 100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basis points. The Credit Agreement </w:t>
      </w:r>
      <w:r>
        <w:rPr>
          <w:rFonts w:ascii="Times New Roman;serif" w:hAnsi="Times New Roman;serif"/>
          <w:b w:val="false"/>
          <w:i w:val="false"/>
          <w:caps w:val="false"/>
          <w:smallCaps w:val="false"/>
          <w:sz w:val="20"/>
        </w:rPr>
        <w:t>includes an expansion feature that provides the Company the opportunity to increase its revolver by an additional $250.0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long-term debt outstanding under the Credit Agreement as of June 30, 2026 is $140.0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Credit Agreement contains the following quarterly financial covenants: </w:t>
      </w:r>
    </w:p>
    <w:tbl>
      <w:tblPr>
        <w:tblW w:w="7401" w:type="dxa"/>
        <w:jc w:val="left"/>
        <w:tblInd w:w="0" w:type="dxa"/>
        <w:tblLayout w:type="fixed"/>
        <w:tblCellMar>
          <w:top w:w="0" w:type="dxa"/>
          <w:left w:w="0" w:type="dxa"/>
          <w:bottom w:w="0" w:type="dxa"/>
          <w:right w:w="0" w:type="dxa"/>
        </w:tblCellMar>
      </w:tblPr>
      <w:tblGrid>
        <w:gridCol w:w="6136"/>
        <w:gridCol w:w="109"/>
        <w:gridCol w:w="1156"/>
      </w:tblGrid>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61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Requirement</w:t>
            </w:r>
          </w:p>
        </w:tc>
      </w:tr>
      <w:tr>
        <w:trPr/>
        <w:tc>
          <w:tcPr>
            <w:tcW w:w="61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Leverage Ratio (Consolidated Indebtedness/Consolidated Adj. EBITDA)</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&lt; 3.50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to 1.00</w:t>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Coverage Ratio (Consolidated Adj. EBITDA/Consolidated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&gt; 3.00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to 1.00</w:t>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were in compliance with all debt covenants as of June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2026. We have issued $47.3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standby letters of credit as of June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30, 2026, mainly for insurance purposes. Issued letters of credit reduce our available credit under the Credit Agreement. As of June 30, 2026, we had approximately $262.7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of unused lines of credit available and eligible to be drawn down under the Credit Agreement. </w:t>
      </w:r>
    </w:p>
    <w:p>
      <w:pPr>
        <w:pStyle w:val="TextBody"/>
        <w:bidi w:val="0"/>
        <w:spacing w:lineRule="auto" w:line="252"/>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    Other Income – Net</w:t>
      </w:r>
    </w:p>
    <w:p>
      <w:pPr>
        <w:pStyle w:val="TextBody"/>
        <w:bidi w:val="0"/>
        <w:spacing w:lineRule="auto" w:line="252"/>
        <w:rPr>
          <w:rFonts w:ascii="Times New Roman;serif" w:hAnsi="Times New Roman;serif"/>
          <w:sz w:val="20"/>
        </w:rPr>
      </w:pPr>
      <w:r>
        <w:rPr>
          <w:rFonts w:ascii="Times New Roman;serif" w:hAnsi="Times New Roman;serif"/>
          <w:b w:val="false"/>
          <w:i w:val="false"/>
          <w:caps w:val="false"/>
          <w:smallCaps w:val="false"/>
          <w:sz w:val="20"/>
        </w:rPr>
        <w:t>Other income – net comprises the following (in thousands):</w:t>
      </w:r>
      <w:r>
        <w:rPr>
          <w:rFonts w:ascii="Times New Roman;serif" w:hAnsi="Times New Roman;serif"/>
          <w:caps w:val="false"/>
          <w:smallCaps w:val="false"/>
          <w:sz w:val="20"/>
        </w:rPr>
        <w:t> </w:t>
      </w:r>
    </w:p>
    <w:tbl>
      <w:tblPr>
        <w:tblW w:w="9797" w:type="dxa"/>
        <w:jc w:val="left"/>
        <w:tblInd w:w="0" w:type="dxa"/>
        <w:tblLayout w:type="fixed"/>
        <w:tblCellMar>
          <w:top w:w="0" w:type="dxa"/>
          <w:left w:w="0" w:type="dxa"/>
          <w:bottom w:w="0" w:type="dxa"/>
          <w:right w:w="0" w:type="dxa"/>
        </w:tblCellMar>
      </w:tblPr>
      <w:tblGrid>
        <w:gridCol w:w="5086"/>
        <w:gridCol w:w="289"/>
        <w:gridCol w:w="822"/>
        <w:gridCol w:w="161"/>
        <w:gridCol w:w="289"/>
        <w:gridCol w:w="822"/>
        <w:gridCol w:w="109"/>
        <w:gridCol w:w="262"/>
        <w:gridCol w:w="744"/>
        <w:gridCol w:w="146"/>
        <w:gridCol w:w="262"/>
        <w:gridCol w:w="805"/>
      </w:tblGrid>
      <w:tr>
        <w:trPr/>
        <w:tc>
          <w:tcPr>
            <w:tcW w:w="50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283"/>
              <w:jc w:val="left"/>
              <w:rPr>
                <w:sz w:val="4"/>
                <w:szCs w:val="4"/>
              </w:rPr>
            </w:pPr>
            <w:r>
              <w:rPr>
                <w:sz w:val="4"/>
                <w:szCs w:val="4"/>
              </w:rPr>
            </w:r>
          </w:p>
        </w:tc>
        <w:tc>
          <w:tcPr>
            <w:tcW w:w="238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5086" w:type="dxa"/>
            <w:tcBorders/>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50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Market value adjustment on assets held in deferred compensation trust</w:t>
            </w:r>
          </w:p>
        </w:tc>
        <w:tc>
          <w:tcPr>
            <w:tcW w:w="28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3,699</w:t>
            </w:r>
            <w:r>
              <w:rPr>
                <w:rFonts w:ascii="Times New Roman;serif" w:hAnsi="Times New Roman;serif"/>
                <w:caps w:val="false"/>
                <w:smallCaps w:val="false"/>
                <w:color w:val="000000"/>
                <w:sz w:val="16"/>
              </w:rPr>
              <w:t> </w:t>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4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7,584</w:t>
            </w:r>
            <w:r>
              <w:rPr>
                <w:rFonts w:ascii="Times New Roman;serif" w:hAnsi="Times New Roman;serif"/>
                <w:caps w:val="false"/>
                <w:smallCaps w:val="false"/>
                <w:color w:val="000000"/>
                <w:sz w:val="16"/>
              </w:rPr>
              <w:t>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88</w:t>
            </w:r>
            <w:r>
              <w:rPr>
                <w:rFonts w:ascii="Times New Roman;serif" w:hAnsi="Times New Roman;serif"/>
                <w:caps w:val="false"/>
                <w:smallCaps w:val="false"/>
                <w:color w:val="000000"/>
                <w:sz w:val="16"/>
              </w:rPr>
              <w:t> </w:t>
            </w:r>
          </w:p>
        </w:tc>
      </w:tr>
      <w:tr>
        <w:trPr/>
        <w:tc>
          <w:tcPr>
            <w:tcW w:w="50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income</w:t>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214</w:t>
            </w:r>
            <w:r>
              <w:rPr>
                <w:rFonts w:ascii="Times New Roman;serif" w:hAnsi="Times New Roman;serif"/>
                <w:caps w:val="false"/>
                <w:smallCaps w:val="false"/>
                <w:color w:val="000000"/>
                <w:sz w:val="16"/>
              </w:rPr>
              <w:t> </w:t>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1,104</w:t>
            </w:r>
            <w:r>
              <w:rPr>
                <w:rFonts w:ascii="Times New Roman;serif" w:hAnsi="Times New Roman;serif"/>
                <w:caps w:val="false"/>
                <w:smallCaps w:val="false"/>
                <w:color w:val="000000"/>
                <w:sz w:val="16"/>
              </w:rPr>
              <w:t>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4,631</w:t>
            </w:r>
            <w:r>
              <w:rPr>
                <w:rFonts w:ascii="Times New Roman;serif" w:hAnsi="Times New Roman;serif"/>
                <w:caps w:val="false"/>
                <w:smallCaps w:val="false"/>
                <w:color w:val="000000"/>
                <w:sz w:val="16"/>
              </w:rPr>
              <w:t> </w:t>
            </w:r>
          </w:p>
        </w:tc>
      </w:tr>
      <w:tr>
        <w:trPr/>
        <w:tc>
          <w:tcPr>
            <w:tcW w:w="50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2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w:t>
            </w:r>
            <w:r>
              <w:rPr>
                <w:rFonts w:ascii="Times New Roman;serif" w:hAnsi="Times New Roman;serif"/>
                <w:caps w:val="false"/>
                <w:smallCaps w:val="false"/>
                <w:color w:val="000000"/>
                <w:sz w:val="16"/>
              </w:rPr>
              <w:t> </w:t>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50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other income - net</w:t>
            </w:r>
          </w:p>
        </w:tc>
        <w:tc>
          <w:tcPr>
            <w:tcW w:w="28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3,914</w:t>
            </w:r>
            <w:r>
              <w:rPr>
                <w:rFonts w:ascii="Times New Roman;serif" w:hAnsi="Times New Roman;serif"/>
                <w:caps w:val="false"/>
                <w:smallCaps w:val="false"/>
                <w:color w:val="000000"/>
                <w:sz w:val="16"/>
              </w:rPr>
              <w:t> </w:t>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3,474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8,688</w:t>
            </w:r>
            <w:r>
              <w:rPr>
                <w:rFonts w:ascii="Times New Roman;serif" w:hAnsi="Times New Roman;serif"/>
                <w:caps w:val="false"/>
                <w:smallCaps w:val="false"/>
                <w:color w:val="000000"/>
                <w:sz w:val="16"/>
              </w:rPr>
              <w:t>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4,719</w:t>
            </w:r>
            <w:r>
              <w:rPr>
                <w:rFonts w:ascii="Times New Roman;serif" w:hAnsi="Times New Roman;serif"/>
                <w:caps w:val="false"/>
                <w:smallCaps w:val="false"/>
                <w:color w:val="000000"/>
                <w:sz w:val="16"/>
              </w:rPr>
              <w:t> </w:t>
            </w:r>
          </w:p>
        </w:tc>
      </w:tr>
    </w:tbl>
    <w:p>
      <w:pPr>
        <w:pStyle w:val="TextBody"/>
        <w:bidi w:val="0"/>
        <w:spacing w:lineRule="auto" w:line="252"/>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 Our leases have remaining terms of under 1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12 years, some of which include options to extend the lease for up to 5 years, and some of which include options to terminate the lease within 1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Roto-Rooter purchases equipment and leases it to certain of its independent contractors. We analyzed these leases in accordance with ASC 842 and determined they are operating leases. As a result, Roto-Rooter capitalizes the equipment underlying these leases, depreciates the equipment and recognizes rental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do not currently have any finance leases, therefore all lease information disclosed is related to operating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balance sheet information related to leases were as follows:</w:t>
      </w:r>
    </w:p>
    <w:tbl>
      <w:tblPr>
        <w:tblW w:w="4432" w:type="dxa"/>
        <w:jc w:val="left"/>
        <w:tblInd w:w="0" w:type="dxa"/>
        <w:tblLayout w:type="fixed"/>
        <w:tblCellMar>
          <w:top w:w="0" w:type="dxa"/>
          <w:left w:w="0" w:type="dxa"/>
          <w:bottom w:w="0" w:type="dxa"/>
          <w:right w:w="0" w:type="dxa"/>
        </w:tblCellMar>
      </w:tblPr>
      <w:tblGrid>
        <w:gridCol w:w="2251"/>
        <w:gridCol w:w="196"/>
        <w:gridCol w:w="736"/>
        <w:gridCol w:w="109"/>
        <w:gridCol w:w="227"/>
        <w:gridCol w:w="913"/>
      </w:tblGrid>
      <w:tr>
        <w:trPr/>
        <w:tc>
          <w:tcPr>
            <w:tcW w:w="2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br/>
              <w:t>‎December 31,</w:t>
            </w:r>
          </w:p>
        </w:tc>
      </w:tr>
      <w:tr>
        <w:trPr/>
        <w:tc>
          <w:tcPr>
            <w:tcW w:w="225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Assets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assets</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142,535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131,151</w:t>
            </w:r>
            <w:r>
              <w:rPr>
                <w:rFonts w:ascii="Times New Roman;serif" w:hAnsi="Times New Roman;serif"/>
                <w:caps w:val="false"/>
                <w:smallCaps w:val="false"/>
                <w:color w:val="000000"/>
                <w:sz w:val="16"/>
              </w:rPr>
              <w:t> </w:t>
            </w:r>
          </w:p>
        </w:tc>
      </w:tr>
      <w:tr>
        <w:trPr/>
        <w:tc>
          <w:tcPr>
            <w:tcW w:w="2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Liabilities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Current operating leases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41,277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40,892</w:t>
            </w:r>
            <w:r>
              <w:rPr>
                <w:rFonts w:ascii="Times New Roman;serif" w:hAnsi="Times New Roman;serif"/>
                <w:caps w:val="false"/>
                <w:smallCaps w:val="false"/>
                <w:color w:val="000000"/>
                <w:sz w:val="16"/>
              </w:rPr>
              <w:t> </w:t>
            </w:r>
          </w:p>
        </w:tc>
      </w:tr>
      <w:tr>
        <w:trPr/>
        <w:tc>
          <w:tcPr>
            <w:tcW w:w="22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Noncurrent operating leases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113,516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102,867</w:t>
            </w:r>
            <w:r>
              <w:rPr>
                <w:rFonts w:ascii="Times New Roman;serif" w:hAnsi="Times New Roman;serif"/>
                <w:caps w:val="false"/>
                <w:smallCaps w:val="false"/>
                <w:color w:val="000000"/>
                <w:sz w:val="16"/>
              </w:rPr>
              <w:t> </w:t>
            </w:r>
          </w:p>
        </w:tc>
      </w:tr>
      <w:tr>
        <w:trPr/>
        <w:tc>
          <w:tcPr>
            <w:tcW w:w="22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operating lease liabilities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154,793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143,759</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for the second quarter are as follows (in thousands):</w:t>
      </w:r>
    </w:p>
    <w:tbl>
      <w:tblPr>
        <w:tblW w:w="4260" w:type="dxa"/>
        <w:jc w:val="left"/>
        <w:tblInd w:w="0" w:type="dxa"/>
        <w:tblLayout w:type="fixed"/>
        <w:tblCellMar>
          <w:top w:w="0" w:type="dxa"/>
          <w:left w:w="0" w:type="dxa"/>
          <w:bottom w:w="0" w:type="dxa"/>
          <w:right w:w="0" w:type="dxa"/>
        </w:tblCellMar>
      </w:tblPr>
      <w:tblGrid>
        <w:gridCol w:w="1831"/>
        <w:gridCol w:w="259"/>
        <w:gridCol w:w="854"/>
        <w:gridCol w:w="144"/>
        <w:gridCol w:w="259"/>
        <w:gridCol w:w="913"/>
      </w:tblGrid>
      <w:tr>
        <w:trPr/>
        <w:tc>
          <w:tcPr>
            <w:tcW w:w="18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242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18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Lease Expense (a)</w:t>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expense</w:t>
            </w:r>
          </w:p>
        </w:tc>
        <w:tc>
          <w:tcPr>
            <w:tcW w:w="25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54"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17,419</w:t>
            </w:r>
            <w:r>
              <w:rPr>
                <w:rFonts w:ascii="Times New Roman;serif" w:hAnsi="Times New Roman;serif"/>
                <w:caps w:val="false"/>
                <w:smallCaps w:val="false"/>
                <w:color w:val="000000"/>
                <w:sz w:val="16"/>
              </w:rPr>
              <w:t> </w:t>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17,110</w:t>
            </w:r>
            <w:r>
              <w:rPr>
                <w:rFonts w:ascii="Times New Roman;serif" w:hAnsi="Times New Roman;serif"/>
                <w:caps w:val="false"/>
                <w:smallCaps w:val="false"/>
                <w:color w:val="000000"/>
                <w:sz w:val="16"/>
              </w:rPr>
              <w:t> </w:t>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Sublease income</w:t>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w:t>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w:t>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lease expense</w:t>
            </w:r>
          </w:p>
        </w:tc>
        <w:tc>
          <w:tcPr>
            <w:tcW w:w="25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5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17,394</w:t>
            </w:r>
            <w:r>
              <w:rPr>
                <w:rFonts w:ascii="Times New Roman;serif" w:hAnsi="Times New Roman;serif"/>
                <w:caps w:val="false"/>
                <w:smallCaps w:val="false"/>
                <w:color w:val="000000"/>
                <w:sz w:val="16"/>
              </w:rPr>
              <w:t> </w:t>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17,080</w:t>
            </w:r>
            <w:r>
              <w:rPr>
                <w:rFonts w:ascii="Times New Roman;serif" w:hAnsi="Times New Roman;serif"/>
                <w:caps w:val="false"/>
                <w:smallCaps w:val="false"/>
                <w:color w:val="000000"/>
                <w:sz w:val="16"/>
              </w:rPr>
              <w:t> </w:t>
            </w:r>
          </w:p>
        </w:tc>
      </w:tr>
    </w:tbl>
    <w:tbl>
      <w:tblPr>
        <w:tblW w:w="714" w:type="dxa"/>
        <w:jc w:val="left"/>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for the first six months are as follows (in thousands):</w:t>
      </w:r>
    </w:p>
    <w:tbl>
      <w:tblPr>
        <w:tblW w:w="4048" w:type="dxa"/>
        <w:jc w:val="left"/>
        <w:tblInd w:w="0" w:type="dxa"/>
        <w:tblLayout w:type="fixed"/>
        <w:tblCellMar>
          <w:top w:w="0" w:type="dxa"/>
          <w:left w:w="0" w:type="dxa"/>
          <w:bottom w:w="0" w:type="dxa"/>
          <w:right w:w="0" w:type="dxa"/>
        </w:tblCellMar>
      </w:tblPr>
      <w:tblGrid>
        <w:gridCol w:w="1831"/>
        <w:gridCol w:w="236"/>
        <w:gridCol w:w="780"/>
        <w:gridCol w:w="131"/>
        <w:gridCol w:w="236"/>
        <w:gridCol w:w="834"/>
      </w:tblGrid>
      <w:tr>
        <w:trPr/>
        <w:tc>
          <w:tcPr>
            <w:tcW w:w="18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22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18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Lease Expense (a)</w:t>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expense</w:t>
            </w:r>
          </w:p>
        </w:tc>
        <w:tc>
          <w:tcPr>
            <w:tcW w:w="2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34,634</w:t>
            </w:r>
            <w:r>
              <w:rPr>
                <w:rFonts w:ascii="Times New Roman;serif" w:hAnsi="Times New Roman;serif"/>
                <w:caps w:val="false"/>
                <w:smallCaps w:val="false"/>
                <w:color w:val="000000"/>
                <w:sz w:val="16"/>
              </w:rPr>
              <w:t> </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4"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33,971</w:t>
            </w:r>
            <w:r>
              <w:rPr>
                <w:rFonts w:ascii="Times New Roman;serif" w:hAnsi="Times New Roman;serif"/>
                <w:caps w:val="false"/>
                <w:smallCaps w:val="false"/>
                <w:color w:val="000000"/>
                <w:sz w:val="16"/>
              </w:rPr>
              <w:t> </w:t>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Sublease income</w:t>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(56)</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w:t>
            </w:r>
          </w:p>
        </w:tc>
      </w:tr>
      <w:tr>
        <w:trPr/>
        <w:tc>
          <w:tcPr>
            <w:tcW w:w="1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lease expense</w:t>
            </w:r>
          </w:p>
        </w:tc>
        <w:tc>
          <w:tcPr>
            <w:tcW w:w="2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34,578</w:t>
            </w:r>
            <w:r>
              <w:rPr>
                <w:rFonts w:ascii="Times New Roman;serif" w:hAnsi="Times New Roman;serif"/>
                <w:caps w:val="false"/>
                <w:smallCaps w:val="false"/>
                <w:color w:val="000000"/>
                <w:sz w:val="16"/>
              </w:rPr>
              <w:t> </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33,905</w:t>
            </w:r>
            <w:r>
              <w:rPr>
                <w:rFonts w:ascii="Times New Roman;serif" w:hAnsi="Times New Roman;serif"/>
                <w:caps w:val="false"/>
                <w:smallCaps w:val="false"/>
                <w:color w:val="000000"/>
                <w:sz w:val="16"/>
              </w:rPr>
              <w:t> </w:t>
            </w:r>
          </w:p>
        </w:tc>
      </w:tr>
    </w:tbl>
    <w:p>
      <w:pPr>
        <w:pStyle w:val="TextBody"/>
        <w:bidi w:val="0"/>
        <w:spacing w:lineRule="auto" w:line="254" w:before="0" w:after="160"/>
        <w:ind w:left="720" w:right="0" w:hanging="360"/>
        <w:jc w:val="both"/>
        <w:rPr>
          <w:rFonts w:ascii="Times New Roman;serif" w:hAnsi="Times New Roman;serif"/>
          <w:sz w:val="20"/>
        </w:rPr>
      </w:pPr>
      <w:r>
        <w:rPr>
          <w:rFonts w:ascii="Times New Roman;serif" w:hAnsi="Times New Roman;serif"/>
          <w:b w:val="false"/>
          <w:i w:val="false"/>
          <w:caps w:val="false"/>
          <w:smallCaps w:val="false"/>
          <w:sz w:val="18"/>
        </w:rPr>
        <w:t>(a)</w:t>
      </w:r>
      <w:r>
        <w:rPr>
          <w:rFonts w:ascii="Times New Roman;serif" w:hAnsi="Times New Roman;serif"/>
          <w:b w:val="false"/>
          <w:i w:val="false"/>
          <w:caps w:val="false"/>
          <w:smallCaps w:val="false"/>
          <w:sz w:val="20"/>
        </w:rPr>
        <w:t>Includes short-term leases and variable lease costs, which are immaterial. Included in both cost of services provided and goods sold and selling, general and administrative expenses.</w:t>
      </w:r>
    </w:p>
    <w:p>
      <w:pPr>
        <w:pStyle w:val="TextBody"/>
        <w:bidi w:val="0"/>
        <w:spacing w:lineRule="auto" w:line="254" w:before="0" w:after="160"/>
        <w:ind w:left="360" w:right="0"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cash flows information related to leases were as follows:</w:t>
      </w:r>
    </w:p>
    <w:tbl>
      <w:tblPr>
        <w:tblW w:w="7708" w:type="dxa"/>
        <w:jc w:val="left"/>
        <w:tblInd w:w="0" w:type="dxa"/>
        <w:tblLayout w:type="fixed"/>
        <w:tblCellMar>
          <w:top w:w="0" w:type="dxa"/>
          <w:left w:w="0" w:type="dxa"/>
          <w:bottom w:w="0" w:type="dxa"/>
          <w:right w:w="0" w:type="dxa"/>
        </w:tblCellMar>
      </w:tblPr>
      <w:tblGrid>
        <w:gridCol w:w="5491"/>
        <w:gridCol w:w="236"/>
        <w:gridCol w:w="780"/>
        <w:gridCol w:w="131"/>
        <w:gridCol w:w="236"/>
        <w:gridCol w:w="834"/>
      </w:tblGrid>
      <w:tr>
        <w:trPr/>
        <w:tc>
          <w:tcPr>
            <w:tcW w:w="54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before="0" w:after="283"/>
              <w:jc w:val="left"/>
              <w:rPr>
                <w:sz w:val="4"/>
                <w:szCs w:val="4"/>
              </w:rPr>
            </w:pPr>
            <w:r>
              <w:rPr>
                <w:sz w:val="4"/>
                <w:szCs w:val="4"/>
              </w:rPr>
            </w:r>
          </w:p>
        </w:tc>
        <w:tc>
          <w:tcPr>
            <w:tcW w:w="22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54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Cash paid for amounts included in the measurement of lease liabilities</w:t>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cash flows from leases</w:t>
            </w:r>
          </w:p>
        </w:tc>
        <w:tc>
          <w:tcPr>
            <w:tcW w:w="2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28,383</w:t>
            </w:r>
            <w:r>
              <w:rPr>
                <w:rFonts w:ascii="Times New Roman;serif" w:hAnsi="Times New Roman;serif"/>
                <w:caps w:val="false"/>
                <w:smallCaps w:val="false"/>
                <w:color w:val="000000"/>
                <w:sz w:val="16"/>
              </w:rPr>
              <w:t> </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4"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27,472</w:t>
            </w:r>
            <w:r>
              <w:rPr>
                <w:rFonts w:ascii="Times New Roman;serif" w:hAnsi="Times New Roman;serif"/>
                <w:caps w:val="false"/>
                <w:smallCaps w:val="false"/>
                <w:color w:val="000000"/>
                <w:sz w:val="16"/>
              </w:rPr>
              <w:t> </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Leased assets obtained in exchange for new operating lease liabilities</w:t>
            </w:r>
          </w:p>
        </w:tc>
        <w:tc>
          <w:tcPr>
            <w:tcW w:w="2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36,108</w:t>
            </w:r>
            <w:r>
              <w:rPr>
                <w:rFonts w:ascii="Times New Roman;serif" w:hAnsi="Times New Roman;serif"/>
                <w:caps w:val="false"/>
                <w:smallCaps w:val="false"/>
                <w:color w:val="000000"/>
                <w:sz w:val="16"/>
              </w:rPr>
              <w:t> </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4"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29,056</w:t>
            </w:r>
            <w:r>
              <w:rPr>
                <w:rFonts w:ascii="Times New Roman;serif" w:hAnsi="Times New Roman;serif"/>
                <w:caps w:val="false"/>
                <w:smallCaps w:val="false"/>
                <w:color w:val="000000"/>
                <w:sz w:val="16"/>
              </w:rPr>
              <w:t> </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bl>
    <w:tbl>
      <w:tblPr>
        <w:tblW w:w="5692" w:type="dxa"/>
        <w:jc w:val="left"/>
        <w:tblInd w:w="0" w:type="dxa"/>
        <w:tblLayout w:type="fixed"/>
        <w:tblCellMar>
          <w:top w:w="0" w:type="dxa"/>
          <w:left w:w="0" w:type="dxa"/>
          <w:bottom w:w="0" w:type="dxa"/>
          <w:right w:w="0" w:type="dxa"/>
        </w:tblCellMar>
      </w:tblPr>
      <w:tblGrid>
        <w:gridCol w:w="4651"/>
        <w:gridCol w:w="109"/>
        <w:gridCol w:w="421"/>
        <w:gridCol w:w="511"/>
      </w:tblGrid>
      <w:tr>
        <w:trPr/>
        <w:tc>
          <w:tcPr>
            <w:tcW w:w="4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Weighted Average Remaining Lease Term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4.85</w:t>
            </w:r>
          </w:p>
        </w:tc>
        <w:tc>
          <w:tcPr>
            <w:tcW w:w="5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years</w:t>
            </w:r>
          </w:p>
        </w:tc>
      </w:tr>
    </w:tbl>
    <w:tbl>
      <w:tblPr>
        <w:tblW w:w="4777" w:type="dxa"/>
        <w:jc w:val="left"/>
        <w:tblInd w:w="0" w:type="dxa"/>
        <w:tblLayout w:type="fixed"/>
        <w:tblCellMar>
          <w:top w:w="0" w:type="dxa"/>
          <w:left w:w="0" w:type="dxa"/>
          <w:bottom w:w="0" w:type="dxa"/>
          <w:right w:w="0" w:type="dxa"/>
        </w:tblCellMar>
      </w:tblPr>
      <w:tblGrid>
        <w:gridCol w:w="3961"/>
        <w:gridCol w:w="109"/>
        <w:gridCol w:w="421"/>
        <w:gridCol w:w="286"/>
      </w:tblGrid>
      <w:tr>
        <w:trPr/>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Weighted Average Discount Rate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4.27</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bl>
    <w:tbl>
      <w:tblPr>
        <w:tblW w:w="714" w:type="dxa"/>
        <w:jc w:val="left"/>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580" w:type="dxa"/>
        <w:jc w:val="left"/>
        <w:tblInd w:w="0" w:type="dxa"/>
        <w:tblLayout w:type="fixed"/>
        <w:tblCellMar>
          <w:top w:w="0" w:type="dxa"/>
          <w:left w:w="0" w:type="dxa"/>
          <w:bottom w:w="0" w:type="dxa"/>
          <w:right w:w="0" w:type="dxa"/>
        </w:tblCellMar>
      </w:tblPr>
      <w:tblGrid>
        <w:gridCol w:w="4276"/>
        <w:gridCol w:w="109"/>
        <w:gridCol w:w="109"/>
        <w:gridCol w:w="109"/>
        <w:gridCol w:w="196"/>
        <w:gridCol w:w="781"/>
      </w:tblGrid>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Maturity of Operating Lease Liabilities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28,516</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41,269</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32,668</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26,332</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18,607</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25,380</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172,772</w:t>
            </w:r>
            <w:r>
              <w:rPr>
                <w:rFonts w:ascii="Times New Roman;serif" w:hAnsi="Times New Roman;serif"/>
                <w:caps w:val="false"/>
                <w:smallCaps w:val="false"/>
                <w:color w:val="000000"/>
                <w:sz w:val="16"/>
              </w:rPr>
              <w:t> </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Less: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(17,979)</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liability recognized on the balance sheet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154,793</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leases commencing prior to April 2019, minimum rental payments exclude payments to landlords for real estate taxes and common area maintenance. Operating lease payments include $10.6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related to extended lease terms that are reasonably certain of being exercised and exclude $485,000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lease payments for leases signed but not yet commenced.</w:t>
      </w:r>
    </w:p>
    <w:p>
      <w:pPr>
        <w:pStyle w:val="TextBody"/>
        <w:bidi w:val="0"/>
        <w:spacing w:lineRule="auto" w:line="252"/>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    Stock-Based Compensation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February 13, 2026, the Compensation/Incentive Committee of the Board of Directors (“CIC”) granted 8,400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Performance Stock Units (“PSUs”) that vest contingent upon the achievement of certain total shareholder return (“TSR”) targets as compared to the TSR of a group of peer companies for the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period ending December 31, 2028, the date at which such awards vest. The cumulative compensation cost of the TSR-based PSU award to be recorded over the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period is $5.2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February 13, 2026, the CIC also granted 8,400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PSUs that vest contingent upon the achievement of certain earnings per share (“EPS”) targets for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period ending December 31, 2028. At the end of each reporting period, the Company estimates the number of shares that it believes will ultimately be earned and records the corresponding expense over the service period of the award. We currently estimate the cumulative compensation cost of the EPS-based PSUs to be recorded over the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period is $3.9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2"/>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    Retirement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All of the Company’s plans that provide retirement and similar benefits are defined contribution plans. These expenses include the impact of market gains and losses on assets held in deferred compensation plans and are recorded in selling, general and administrative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expenses. Net gains for the Company’s retirement and profit-sharing plans, excess benefit plans and other similar plans are as follows (in thousands):</w:t>
      </w:r>
    </w:p>
    <w:tbl>
      <w:tblPr>
        <w:tblW w:w="4724" w:type="dxa"/>
        <w:jc w:val="left"/>
        <w:tblInd w:w="0" w:type="dxa"/>
        <w:tblLayout w:type="fixed"/>
        <w:tblCellMar>
          <w:top w:w="0" w:type="dxa"/>
          <w:left w:w="0" w:type="dxa"/>
          <w:bottom w:w="0" w:type="dxa"/>
          <w:right w:w="0" w:type="dxa"/>
        </w:tblCellMar>
      </w:tblPr>
      <w:tblGrid>
        <w:gridCol w:w="311"/>
        <w:gridCol w:w="819"/>
        <w:gridCol w:w="160"/>
        <w:gridCol w:w="289"/>
        <w:gridCol w:w="819"/>
        <w:gridCol w:w="109"/>
        <w:gridCol w:w="236"/>
        <w:gridCol w:w="780"/>
        <w:gridCol w:w="131"/>
        <w:gridCol w:w="236"/>
        <w:gridCol w:w="834"/>
      </w:tblGrid>
      <w:tr>
        <w:trPr/>
        <w:tc>
          <w:tcPr>
            <w:tcW w:w="3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39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113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6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9,597</w:t>
            </w:r>
            <w:r>
              <w:rPr>
                <w:rFonts w:ascii="Times New Roman;serif" w:hAnsi="Times New Roman;serif"/>
                <w:caps w:val="false"/>
                <w:smallCaps w:val="false"/>
                <w:color w:val="000000"/>
                <w:sz w:val="16"/>
              </w:rPr>
              <w:t> </w:t>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19,521</w:t>
            </w:r>
            <w:r>
              <w:rPr>
                <w:rFonts w:ascii="Times New Roman;serif" w:hAnsi="Times New Roman;serif"/>
                <w:caps w:val="false"/>
                <w:smallCaps w:val="false"/>
                <w:color w:val="000000"/>
                <w:sz w:val="16"/>
              </w:rPr>
              <w:t> </w:t>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11,090</w:t>
            </w:r>
            <w:r>
              <w:rPr>
                <w:rFonts w:ascii="Times New Roman;serif" w:hAnsi="Times New Roman;serif"/>
                <w:caps w:val="false"/>
                <w:smallCaps w:val="false"/>
                <w:color w:val="000000"/>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    Legal and Regulatory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Times New Roman;serif" w:hAnsi="Times New Roman;serif"/>
          <w:b w:val="false"/>
          <w:i/>
          <w:sz w:val="20"/>
        </w:rPr>
        <w:t>qui tam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actions. The following describes </w:t>
      </w:r>
      <w:r>
        <w:rPr>
          <w:rFonts w:ascii="Times New Roman;serif" w:hAnsi="Times New Roman;serif"/>
          <w:b w:val="false"/>
          <w:i w:val="false"/>
          <w:caps w:val="false"/>
          <w:smallCaps w:val="false"/>
          <w:color w:val="000000"/>
          <w:sz w:val="20"/>
        </w:rPr>
        <w:t>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material lawsuits and investigations of which the Company is currently aware. </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Regulatory Matters and Litigation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VITAS was one of a group of hospice providers selected by the Office of the Inspector General’s (“OIG”) Office of Audit Services (“OAS”) for inclusion in an audit of the provision of elevated level-of-care hospice services, which reviewed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 of a total population of 50,850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inpatient and continuous care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29, 2022, VITAS received a demand letter from its Medicare Administrative Contractor (“MAC”) seeking repayment of $50.3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VITAS appealed the overpayment decision and deposited $50.3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under the “Immediate Recoupment” process.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February 3, 2025, an Administrative Law Judge (“ALJ”) ruled that VITAS’ care met Medicare’s hospice standards for the applicable higher level of care as originally billed for all but one of the claims appealed, and therefore VITAS was entitled to receive payment for all such claims. With respect to the one claim that the judge did not fully side with VITAS, the judge found that four of the five days billed met the applicable standard and only one day did not.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 letter dated March 18, 2025, VITAS’ MAC provided notice that due to the ALJ’s ruling the total overpayment amount was reduced to a de minimis amount, and on April 1, 2025 refunded VITAS all previously unreturned deposited amounts in excess of that dollar figure.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previously disclosed cybersecurity incident and data breach on October 24, 2025, multiple class action lawsuits were filed against VITAS alleging various causes of action and seeking damages resulting from the breach. All outstanding cases have been consolidated and the Company has reached an agreement to settle them for a non-material amount fully covered by VITAS’ cybersecurity insurance.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Regardless of the outcome of the preceding matters, dealing with the various regulatory agencies and opposing parties can adversely affect us through defense costs, potential payments, withholding of governmental funding, diversion of management time, and related publicity.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    Concentration of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and December 31, 2025, approximately 58% of VITAS’ total accounts receivable balance were from Medicare and 36% and 34% respectively, of VITAS’ total accounts receivable balance were due from various state Medicaid or managed Medicaid programs. Combined accounts receivable from Medicare, Medicaid, and managed Medicaid represent approximately 76% of the consolidated net accounts receivable in the accompanying consolidated balance sheets as of June 30,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VITAS has a pharmacy services contract with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provider for specified pharmacy services related to its hospice operations. Similarly, VITAS obtains the majority of its medical supplies from a single vendor. A large majority of VITAS’ pharmaceutical and medical supplies purchases are from these vendors. The pharmaceutical and medical supplies purchased by VITAS are available through many providers in the United States. However, a disruption from VITAS’ main service providers could adversely impact VITAS’ operations, including temporary logistical challenges and increased cost associated with getting medication and medical supplies to our patients.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    Cash Overdrafts and Cash Equivalents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There is $34.3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cash overdrafts payable included in accounts payable at June 30, 2026. There were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cash overdrafts payable included in accounts payable at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throughout the year, we invest excess cash in money market funds with major commercial banks. We closely monitor the creditworthiness of the institutions with which we invest our overnight funds. In 2023, Chemed began investing excess cash in money market funds holding US Treasuries. Deposits and withdrawals are made daily, based on the Company’s excess cash balance. There are no penalties associated with withdrawals. The accounts bear interest at a normal market rate.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shows the carrying value, fair value, and the hierarchy for our financial instruments as of June 30, 2026 (in thousands):</w:t>
      </w:r>
    </w:p>
    <w:tbl>
      <w:tblPr>
        <w:tblW w:w="10205" w:type="dxa"/>
        <w:jc w:val="left"/>
        <w:tblInd w:w="0" w:type="dxa"/>
        <w:tblLayout w:type="fixed"/>
        <w:tblCellMar>
          <w:top w:w="0" w:type="dxa"/>
          <w:left w:w="0" w:type="dxa"/>
          <w:bottom w:w="0" w:type="dxa"/>
          <w:right w:w="0" w:type="dxa"/>
        </w:tblCellMar>
      </w:tblPr>
      <w:tblGrid>
        <w:gridCol w:w="2243"/>
        <w:gridCol w:w="109"/>
        <w:gridCol w:w="196"/>
        <w:gridCol w:w="968"/>
        <w:gridCol w:w="109"/>
        <w:gridCol w:w="196"/>
        <w:gridCol w:w="2062"/>
        <w:gridCol w:w="109"/>
        <w:gridCol w:w="196"/>
        <w:gridCol w:w="1814"/>
        <w:gridCol w:w="109"/>
        <w:gridCol w:w="196"/>
        <w:gridCol w:w="1898"/>
      </w:tblGrid>
      <w:tr>
        <w:trPr/>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84" w:type="dxa"/>
            <w:gridSpan w:val="7"/>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Fair Value Measure</w:t>
            </w:r>
          </w:p>
        </w:tc>
      </w:tr>
      <w:tr>
        <w:trPr/>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06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Quoted Prices in Active Markets for Identical Assets (Level 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1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Significant Other Observable Inputs (Level 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Significant Unobservable Inputs (Level 3)</w:t>
            </w:r>
          </w:p>
        </w:tc>
      </w:tr>
      <w:tr>
        <w:trPr/>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24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Investments of deferred compensation plans held in trust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6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148,153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20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148,153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814"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898"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24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35,064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35,064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shows the carrying value, fair value and the hierarchy for our financial instruments as of December 31, 2025 (in thousands):</w:t>
      </w:r>
    </w:p>
    <w:tbl>
      <w:tblPr>
        <w:tblW w:w="10205" w:type="dxa"/>
        <w:jc w:val="left"/>
        <w:tblInd w:w="0" w:type="dxa"/>
        <w:tblLayout w:type="fixed"/>
        <w:tblCellMar>
          <w:top w:w="0" w:type="dxa"/>
          <w:left w:w="0" w:type="dxa"/>
          <w:bottom w:w="0" w:type="dxa"/>
          <w:right w:w="0" w:type="dxa"/>
        </w:tblCellMar>
      </w:tblPr>
      <w:tblGrid>
        <w:gridCol w:w="2220"/>
        <w:gridCol w:w="109"/>
        <w:gridCol w:w="196"/>
        <w:gridCol w:w="908"/>
        <w:gridCol w:w="109"/>
        <w:gridCol w:w="196"/>
        <w:gridCol w:w="2150"/>
        <w:gridCol w:w="109"/>
        <w:gridCol w:w="196"/>
        <w:gridCol w:w="1823"/>
        <w:gridCol w:w="109"/>
        <w:gridCol w:w="196"/>
        <w:gridCol w:w="1884"/>
      </w:tblGrid>
      <w:tr>
        <w:trPr/>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7" w:type="dxa"/>
            <w:gridSpan w:val="7"/>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Fair Value Measure</w:t>
            </w:r>
          </w:p>
        </w:tc>
      </w:tr>
      <w:tr>
        <w:trPr/>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5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Quoted Prices in Active Markets for Identical Assets (Level 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Significant Other Observable Inputs (Level 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8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Significant Unobservable Inputs (Level 3)</w:t>
            </w:r>
          </w:p>
        </w:tc>
      </w:tr>
      <w:tr>
        <w:trPr/>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8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2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Investments of deferred compensation plans held in trust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0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140,347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215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140,347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8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88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2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94,273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94,273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cash, accounts receivable and accounts payable, the carrying amount is a reasonable estimate of fair value because of the liquidity and short-term nature of these instruments. As further described in Note 5, our outstanding long-term debt has a floating interest rate that is reset at short-term intervals, generally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days. The interest rate we pay also includes an additional amount based on our current leverage ratio. As such, we believe our borrowings reflect significant nonperformance risks, mainly credit risk. Based on these factors, we believe the fair value of our long-term debt approximates its carrying value.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    Capital Stock Repurchase Plan Transactions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repurchased the following capital stock: </w:t>
      </w:r>
    </w:p>
    <w:tbl>
      <w:tblPr>
        <w:tblW w:w="8286" w:type="dxa"/>
        <w:jc w:val="left"/>
        <w:tblInd w:w="0" w:type="dxa"/>
        <w:tblLayout w:type="fixed"/>
        <w:tblCellMar>
          <w:top w:w="0" w:type="dxa"/>
          <w:left w:w="0" w:type="dxa"/>
          <w:bottom w:w="0" w:type="dxa"/>
          <w:right w:w="0" w:type="dxa"/>
        </w:tblCellMar>
      </w:tblPr>
      <w:tblGrid>
        <w:gridCol w:w="3466"/>
        <w:gridCol w:w="109"/>
        <w:gridCol w:w="248"/>
        <w:gridCol w:w="932"/>
        <w:gridCol w:w="138"/>
        <w:gridCol w:w="248"/>
        <w:gridCol w:w="818"/>
        <w:gridCol w:w="109"/>
        <w:gridCol w:w="215"/>
        <w:gridCol w:w="810"/>
        <w:gridCol w:w="119"/>
        <w:gridCol w:w="215"/>
        <w:gridCol w:w="859"/>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 of repurchased shares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89,839</w:t>
            </w:r>
            <w:r>
              <w:rPr>
                <w:rFonts w:ascii="Times New Roman;serif" w:hAnsi="Times New Roman;serif"/>
                <w:caps w:val="false"/>
                <w:smallCaps w:val="false"/>
                <w:color w:val="000000"/>
                <w:sz w:val="16"/>
              </w:rPr>
              <w:t> </w:t>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42,945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287,521</w:t>
            </w:r>
            <w:r>
              <w:rPr>
                <w:rFonts w:ascii="Times New Roman;serif" w:hAnsi="Times New Roman;serif"/>
                <w:caps w:val="false"/>
                <w:smallCaps w:val="false"/>
                <w:color w:val="000000"/>
                <w:sz w:val="16"/>
              </w:rPr>
              <w:t>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72,701</w:t>
            </w:r>
            <w:r>
              <w:rPr>
                <w:rFonts w:ascii="Times New Roman;serif" w:hAnsi="Times New Roman;serif"/>
                <w:caps w:val="false"/>
                <w:smallCaps w:val="false"/>
                <w:color w:val="000000"/>
                <w:sz w:val="16"/>
              </w:rPr>
              <w:t> </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210,000</w:t>
            </w:r>
            <w:r>
              <w:rPr>
                <w:rFonts w:ascii="Times New Roman;serif" w:hAnsi="Times New Roman;serif"/>
                <w:caps w:val="false"/>
                <w:smallCaps w:val="false"/>
                <w:color w:val="000000"/>
                <w:sz w:val="16"/>
              </w:rPr>
              <w:t> </w:t>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75,000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710,000</w:t>
            </w:r>
            <w:r>
              <w:rPr>
                <w:rFonts w:ascii="Times New Roman;serif" w:hAnsi="Times New Roman;serif"/>
                <w:caps w:val="false"/>
                <w:smallCaps w:val="false"/>
                <w:color w:val="000000"/>
                <w:sz w:val="16"/>
              </w:rPr>
              <w:t>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125,000</w:t>
            </w:r>
            <w:r>
              <w:rPr>
                <w:rFonts w:ascii="Times New Roman;serif" w:hAnsi="Times New Roman;serif"/>
                <w:caps w:val="false"/>
                <w:smallCaps w:val="false"/>
                <w:color w:val="000000"/>
                <w:sz w:val="16"/>
              </w:rPr>
              <w:t> </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Weighted average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427.81</w:t>
            </w:r>
            <w:r>
              <w:rPr>
                <w:rFonts w:ascii="Times New Roman;serif" w:hAnsi="Times New Roman;serif"/>
                <w:caps w:val="false"/>
                <w:smallCaps w:val="false"/>
                <w:color w:val="000000"/>
                <w:sz w:val="16"/>
              </w:rPr>
              <w:t> </w:t>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572.61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404.96</w:t>
            </w:r>
            <w:r>
              <w:rPr>
                <w:rFonts w:ascii="Times New Roman;serif" w:hAnsi="Times New Roman;serif"/>
                <w:caps w:val="false"/>
                <w:smallCaps w:val="false"/>
                <w:color w:val="000000"/>
                <w:sz w:val="16"/>
              </w:rPr>
              <w:t>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581.62</w:t>
            </w:r>
            <w:r>
              <w:rPr>
                <w:rFonts w:ascii="Times New Roman;serif" w:hAnsi="Times New Roman;serif"/>
                <w:caps w:val="false"/>
                <w:smallCaps w:val="false"/>
                <w:color w:val="000000"/>
                <w:sz w:val="16"/>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February 2026, the Board of Directors authorized $300.0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additional stock repurchases under Chemed’s existing share repurchase program. We currently have $139.8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authorization remaining under this share repurchase plan.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    Acquisitions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March 31, 2026, Roto-Rooter completed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acquisitions, for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franchise in Texas for $17.36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cash and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franchise in California for $3.25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cash. On April 15, 2026, Roto-Rooter completed an acquisition for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franchise in New York for $930,000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On June 8, 2026, Roto-Rooter completed an acquisition for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franchise in Texas for $12.0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cash.</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January 3, 2025, Roto-Rooter completed the acquisition of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franchise in Michigan for $225,000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cash.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and net income from acquisitions made in 2026 and 2025 are not material.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is assessed for impairment on a yearly basis as of October 1. The primary factor that contributed to the purchase price resulting in the recognition of goodwill is operational efficiencies expected as a result of integrating the operations of the acquisitions into the organizational structure. All goodwill recognized is deductible for tax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below is movement in Goodwill (in thousands):</w:t>
      </w:r>
    </w:p>
    <w:tbl>
      <w:tblPr>
        <w:tblW w:w="5384" w:type="dxa"/>
        <w:jc w:val="left"/>
        <w:tblInd w:w="0" w:type="dxa"/>
        <w:tblLayout w:type="fixed"/>
        <w:tblCellMar>
          <w:top w:w="0" w:type="dxa"/>
          <w:left w:w="0" w:type="dxa"/>
          <w:bottom w:w="0" w:type="dxa"/>
          <w:right w:w="0" w:type="dxa"/>
        </w:tblCellMar>
      </w:tblPr>
      <w:tblGrid>
        <w:gridCol w:w="2281"/>
        <w:gridCol w:w="196"/>
        <w:gridCol w:w="691"/>
        <w:gridCol w:w="109"/>
        <w:gridCol w:w="235"/>
        <w:gridCol w:w="831"/>
        <w:gridCol w:w="109"/>
        <w:gridCol w:w="196"/>
        <w:gridCol w:w="736"/>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2025</w:t>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404,866</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262,133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666,999</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Business combinations</w:t>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32,439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32,439</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Foreign currency adjustments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June 30, 2026</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404,866</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294,532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699,398</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 Recent Accounting Standards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November 2024, the FASB issued Accounting Standards Update “ASU 2024-03 – Disaggregation of Income Statement Expenses”. The guidance provides enhanced disclosures about commonly presented expense categories such as cost of sales, selling, general and administrative expenses and research and development. The objective is to provide investors with a better understanding of the entity’s performance, assess potential future cash flows and comparability with other entities. The guidance is effective for fiscal periods beginning after December 15, 2026, and interim periods within fiscal years beginning after December 15, 2027. The Company is currently analyzing the impact of the ASU on the current footnote disclosures.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September 2025, the FASB issued Accounting Standards Update “ASU 2025-06 – Intangibles – Goodwill and Other – Internal – Use Software”. The guidance seeks to modernize the accounting guidance for the costs to develop software for internal use. The guidance amends the existing standard to better align with current software development methods. Entities will start capitalizing eligible costs when management has authorized and committed to funding software projects and when it is probable that the projects will be completed and used as intended. The guidance is effective for annual periods beginning after December 15, 2027, and interim periods within those annual reporting periods. The Company is currently analyzing the impact of the ASU on the consolidated financial statements.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    Management’s Discussion and Analysis of Financial Condition and Results of Operations</w:t>
      </w:r>
      <w:bookmarkStart w:id="7" w:name="Item2MDAA"/>
      <w:bookmarkEnd w:id="7"/>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Executive Summary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through our two wholly-owned subsidiaries, VITAS Healthcare Corporation and Roto-Rooter Group, Inc. VITAS focuses on hospice care that helps make terminally ill patients’ final days as comfortable as possible. Through its teams of doctors, nurses, home health aides, social workers, clergy and volunteers, VITAS provides direct medical services to patients, as well as spiritual and emotional counseling to both patients and their families. Roto-Rooter’s services are focused on providing plumbing, drain cleaning, excavation, water restoration, and other related services to both residential and commercial customers. Through its network of company-owned branches, independent contractors and franchisees, Roto-Rooter offers plumbing and drain cleaning service to over 90% of the U.S. population.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vast majority of the Company’s operations are located in the United States. As both operations are service companies, our employees are the most critical resource of the Company. We have very little exposure related to customers, vendors, or employees in other regions of the world. We continue to monitor macroeconomic trends and uncertainties such as inflation, the effects of recently implemented tariffs, and the potential imposition of modified or additional tariffs, as well as the impact of the war with Iran on fuel prices, which may have adverse effects on net sales and profitability. Based on preliminary analysis of the potential effects of the announced tariffs and these other factors, we do not expect a material negative effect on our net sales or profitability for the remainder of fiscal year 2026. However, we are continuing to evaluate these factors and their potential effects as well as our ability to potentially offset all or a portion of cost increases through pricing actions and cost savings efforts for fiscal year 2027 planning. Economic pressures including the challenges of high inflation and the effects of increased tariffs and the impact of the war with Iran may negatively affect our net sales and profitability in the future.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key operating results (in thousands except per share amounts):</w:t>
      </w:r>
    </w:p>
    <w:tbl>
      <w:tblPr>
        <w:tblW w:w="8092" w:type="dxa"/>
        <w:jc w:val="left"/>
        <w:tblInd w:w="0" w:type="dxa"/>
        <w:tblLayout w:type="fixed"/>
        <w:tblCellMar>
          <w:top w:w="0" w:type="dxa"/>
          <w:left w:w="0" w:type="dxa"/>
          <w:bottom w:w="0" w:type="dxa"/>
          <w:right w:w="0" w:type="dxa"/>
        </w:tblCellMar>
      </w:tblPr>
      <w:tblGrid>
        <w:gridCol w:w="2776"/>
        <w:gridCol w:w="219"/>
        <w:gridCol w:w="822"/>
        <w:gridCol w:w="302"/>
        <w:gridCol w:w="219"/>
        <w:gridCol w:w="822"/>
        <w:gridCol w:w="241"/>
        <w:gridCol w:w="196"/>
        <w:gridCol w:w="871"/>
        <w:gridCol w:w="271"/>
        <w:gridCol w:w="196"/>
        <w:gridCol w:w="871"/>
        <w:gridCol w:w="286"/>
      </w:tblGrid>
      <w:tr>
        <w:trPr/>
        <w:tc>
          <w:tcPr>
            <w:tcW w:w="27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238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241" w:type="dxa"/>
            <w:tcBorders/>
            <w:vAlign w:val="center"/>
          </w:tcPr>
          <w:p>
            <w:pPr>
              <w:pStyle w:val="TableContents"/>
              <w:bidi w:val="0"/>
              <w:spacing w:before="0" w:after="283"/>
              <w:jc w:val="left"/>
              <w:rPr>
                <w:sz w:val="4"/>
                <w:szCs w:val="4"/>
              </w:rPr>
            </w:pPr>
            <w:r>
              <w:rPr>
                <w:sz w:val="4"/>
                <w:szCs w:val="4"/>
              </w:rPr>
            </w:r>
          </w:p>
        </w:tc>
        <w:tc>
          <w:tcPr>
            <w:tcW w:w="240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30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4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21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673,251 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618,798 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1,330,764 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1,265,741 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2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67,703 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52,493 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134,005 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124,250 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Diluted EPS</w:t>
            </w:r>
          </w:p>
        </w:tc>
        <w:tc>
          <w:tcPr>
            <w:tcW w:w="2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5.13 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3.57 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9.97 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8.43 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Adjusted net income</w:t>
            </w:r>
          </w:p>
        </w:tc>
        <w:tc>
          <w:tcPr>
            <w:tcW w:w="2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80,039 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62,721 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157,421 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145,796 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Adjusted diluted EPS</w:t>
            </w:r>
          </w:p>
        </w:tc>
        <w:tc>
          <w:tcPr>
            <w:tcW w:w="2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6.06 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4.27 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11.71 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9.90 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Adjusted EBITDA</w:t>
            </w:r>
          </w:p>
        </w:tc>
        <w:tc>
          <w:tcPr>
            <w:tcW w:w="2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121,806 </w:t>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95,331 </w:t>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238,062 </w:t>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217,023 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Adjusted EBITDA as a % of revenue</w:t>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18.1 </w:t>
            </w:r>
          </w:p>
        </w:tc>
        <w:tc>
          <w:tcPr>
            <w:tcW w:w="30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15.4 </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17.9 </w:t>
            </w:r>
          </w:p>
        </w:tc>
        <w:tc>
          <w:tcPr>
            <w:tcW w:w="2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17.1 </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net income, adjusted diluted EPS, earnings before interest, taxes and depreciation and amortization (“EBITDA”), Adjusted EBITDA and Adjusted EBITDA as a percent of revenue are not measures derived in accordance with US GAAP. We provide non-GAAP measures to help readers evaluate our operating results and to compare our operating performance with that of similar companies that have different capital structures. Our non-GAAP measures should not be considered in isolation or as a substitute for comparable measures presented in accordance with GAAP. A reconciliation of our non-GAAP measures is presented on pages 37-39.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three months ended June 30, 2026, the increase in consolidated service revenues and sales was driven by an 11.9 % increase at VITAS and a 3.3% increase at Roto-Rooter. The increase in service revenues at VITAS is comprised primarily of 6.1% increase in days-of-care and a geographically weighted average Medicare reimbursement rate increase of approximately 2.4%. Acuity mix shift negatively impacted revenue growth by 115-basis points in the quarter when compared to the prior year quarter’s revenue and level-of-care mix. The combination of Medicare Cap and other contra revenue changes increased revenue growth by 455-basis points. The increase in service revenues at Roto-Rooter was driven by an increase in plumbing, drain cleaning and excavation offset by a decrease in water restoration.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six months ended June 30, 2026, the increase in consolidated service revenues and sales was driven by a 7.4% increase at VITAS and by a 1.1% increase at Roto-Rooter. The increase in service revenues at VITAS is comprised primarily of 4.2% increase in days-of-care and a geographically weighted average Medicare reimbursement rate increase of approximately 2.5%. Acuity mix shift negatively impacted revenue growth by 120-basis points in the year when compared to the prior year’s revenue and level-of-care mix. The combination of Medicare Cap and other contra revenue changes increased revenue growth by 190-basis points. The increase in service revenues at Roto-Rooter was driven by an increase in plumbing, drain cleaning and excavation offset by a decrease in water restoration.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Financial Condition</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Material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the balance sheet accounts from December 31, 2025 to June 30, 2026 include the following:</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 $6.1 million increase in accounts receivable due to the timing of payments. Other significant changes in our accounts receivable balances are typically driven by the timing of payments received from the Federal government at our VITAS subsidiary. We typically receive a payment in excess of $63.0 million from the Federal government for hospice services every other Friday. The timing of a period end will have a significant impact on the accounts receivable at VITAS. These changes generally normalize over a two-year period, as cash flow variations in one year are offset in the following year.</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 $10.3 million increase in prepaid expenses due to prepaid insurance premiums paid in the second quarter.</w:t>
      </w:r>
    </w:p>
    <w:p>
      <w:pPr>
        <w:pStyle w:val="TextBody"/>
        <w:bidi w:val="0"/>
        <w:spacing w:lineRule="auto" w:line="259" w:before="120" w:after="283"/>
        <w:ind w:left="1080" w:right="0" w:hanging="360"/>
        <w:jc w:val="both"/>
        <w:rPr/>
      </w:pPr>
      <w:r>
        <w:rPr>
          <w:caps w:val="false"/>
          <w:smallCaps w:val="false"/>
        </w:rPr>
        <w:t></w:t>
      </w:r>
      <w:r>
        <w:rPr>
          <w:rFonts w:ascii="Times New Roman;serif" w:hAnsi="Times New Roman;serif"/>
          <w:b w:val="false"/>
          <w:i w:val="false"/>
          <w:caps w:val="false"/>
          <w:smallCaps w:val="false"/>
          <w:sz w:val="20"/>
        </w:rPr>
        <w:t>A $11.4 million increase in lease right of use asset due to lease renewals. This resulted in a similar increase in the lease liability accounts.</w:t>
      </w:r>
    </w:p>
    <w:p>
      <w:pPr>
        <w:pStyle w:val="TextBody"/>
        <w:bidi w:val="0"/>
        <w:spacing w:lineRule="auto" w:line="259" w:before="120" w:after="283"/>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A $32.4 million increase in goodwill due to four acquisitions at Roto-Rooter. </w:t>
      </w:r>
    </w:p>
    <w:p>
      <w:pPr>
        <w:pStyle w:val="TextBody"/>
        <w:bidi w:val="0"/>
        <w:spacing w:lineRule="auto" w:line="259" w:before="120" w:after="283"/>
        <w:ind w:left="1080" w:right="0" w:hanging="360"/>
        <w:jc w:val="both"/>
        <w:rPr/>
      </w:pPr>
      <w:r>
        <w:rPr>
          <w:caps w:val="false"/>
          <w:smallCaps w:val="false"/>
        </w:rPr>
        <w:t></w:t>
      </w:r>
      <w:r>
        <w:rPr>
          <w:rFonts w:ascii="Times New Roman;serif" w:hAnsi="Times New Roman;serif"/>
          <w:b w:val="false"/>
          <w:i w:val="false"/>
          <w:caps w:val="false"/>
          <w:smallCaps w:val="false"/>
          <w:sz w:val="20"/>
        </w:rPr>
        <w:t>A $20.3 million increase in accounts payable due to timing of payments.</w:t>
      </w:r>
    </w:p>
    <w:p>
      <w:pPr>
        <w:pStyle w:val="TextBody"/>
        <w:bidi w:val="0"/>
        <w:spacing w:lineRule="auto" w:line="259" w:before="120" w:after="283"/>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A $10.8 million increase in the liability of deferred compensation plans due mainly to market valuation gains. This resulted in a similar increase in the assets associated with deferred compensation plans. </w:t>
      </w:r>
    </w:p>
    <w:p>
      <w:pPr>
        <w:pStyle w:val="TextBody"/>
        <w:bidi w:val="0"/>
        <w:spacing w:lineRule="auto" w:line="259" w:before="120" w:after="283"/>
        <w:ind w:left="1080" w:right="0" w:hanging="360"/>
        <w:jc w:val="both"/>
        <w:rPr/>
      </w:pPr>
      <w:r>
        <w:rPr>
          <w:caps w:val="false"/>
          <w:smallCaps w:val="false"/>
        </w:rPr>
        <w:t></w:t>
      </w:r>
      <w:r>
        <w:rPr>
          <w:rFonts w:ascii="Times New Roman;serif" w:hAnsi="Times New Roman;serif"/>
          <w:b w:val="false"/>
          <w:i w:val="false"/>
          <w:caps w:val="false"/>
          <w:smallCaps w:val="false"/>
          <w:sz w:val="20"/>
        </w:rPr>
        <w:t>A $140.0 million increase in long-term debt due primarily to acquisitions and stock repurchases.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A $291.9 million increase in treasury stock due to stock repurchases.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provided by operating activities increased $1.7 million from June 30, 2025 to June 30, 2026. See the Unaudited Consolidated Statements of Cash Flows on page 5 for the detail components making up the change.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continually evaluates cash utilization alternatives, including share repurchase, debt repurchase, acquisitions and increased dividends to determine the most beneficial use of available capital resources.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anticipate that our operating income and cash flows will be sufficient to operate our business and meet any commitments for the foreseeable future.</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Commitments and Contingencies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April 10, 2026, we replaced the Prior Credit Agreement with a sixth amended and restated Credit Agreement. Terms of the Credit Agreement consist of a five-year $450.0 million revolving credit facility including $100.0 million for letters of credit. </w:t>
      </w:r>
      <w:r>
        <w:rPr>
          <w:rFonts w:ascii="Times New Roman;serif" w:hAnsi="Times New Roman;serif"/>
          <w:b w:val="false"/>
          <w:i w:val="false"/>
          <w:caps w:val="false"/>
          <w:smallCaps w:val="false"/>
          <w:color w:val="000000"/>
          <w:sz w:val="20"/>
        </w:rPr>
        <w:t xml:space="preserve">This Credit Agreement has a floating interest rate that is generally the secured overnight financing rate (“SOFR”) plus an additional tiered rate which varies based on our current leverage ratio. As of </w:t>
      </w:r>
      <w:r>
        <w:rPr>
          <w:rFonts w:ascii="Times New Roman;serif" w:hAnsi="Times New Roman;serif"/>
          <w:b w:val="false"/>
          <w:i w:val="false"/>
          <w:caps w:val="false"/>
          <w:smallCaps w:val="false"/>
          <w:sz w:val="20"/>
        </w:rPr>
        <w:t>June 30</w:t>
      </w:r>
      <w:r>
        <w:rPr>
          <w:rFonts w:ascii="Times New Roman;serif" w:hAnsi="Times New Roman;serif"/>
          <w:b w:val="false"/>
          <w:i w:val="false"/>
          <w:caps w:val="false"/>
          <w:smallCaps w:val="false"/>
          <w:color w:val="000000"/>
          <w:sz w:val="20"/>
        </w:rPr>
        <w:t xml:space="preserve">, 2026, the interest rate is SOFR plus 100 basis points. The Credit Agreement </w:t>
      </w:r>
      <w:r>
        <w:rPr>
          <w:rFonts w:ascii="Times New Roman;serif" w:hAnsi="Times New Roman;serif"/>
          <w:b w:val="false"/>
          <w:i w:val="false"/>
          <w:caps w:val="false"/>
          <w:smallCaps w:val="false"/>
          <w:sz w:val="20"/>
        </w:rPr>
        <w:t>includes an expansion feature that provides the Company the opportunity to increase its revolver by an additional $250.0 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have issued $47.3 million in standby letters of credit as of June 30, 2026, mainly for insurance purposes. Issued letters of credit reduce our available credit under the Credit Agreement. As of June 30, 2026, we have approximately $262.7 million of unused lines </w:t>
      </w:r>
      <w:r>
        <w:rPr>
          <w:rFonts w:ascii="Times New Roman;serif" w:hAnsi="Times New Roman;serif"/>
          <w:b w:val="false"/>
          <w:i w:val="false"/>
          <w:caps w:val="false"/>
          <w:smallCaps w:val="false"/>
          <w:color w:val="000000"/>
          <w:sz w:val="20"/>
        </w:rPr>
        <w:t>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credit available and are eligible to be drawn down under the Credit Agreement. Management believes its liquidity and sources of capital are satisfactory for the Company’s needs in the foreseeable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Collectively, the terms of the Credit Agreement require us to meet various financial covenants, to be tested quarterly. We are in compliance with all financial and other debt covenants as of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 reasonably possible liability due to the uncertainty of the outcome and stage of litigation. We record legal fees associated with legal and regulatory actions as the costs are incurred.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10 in the Notes to the Unaudited Consolidated Financial Statements in Item 1 above for a description of current material legal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Three months ended June 30, 2026 versus 2025 - Consolidated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service revenues and sales for the second quarter of 2026 increased 8.8% versus services revenue and sales for the second quarter of 2025. Of this increase, a $47.1 million increase was attributable to VITAS, and a $7.3 million increase at Roto-Rooter. The following chart shows the components of revenue by operating segment (in thousands):</w:t>
      </w:r>
    </w:p>
    <w:tbl>
      <w:tblPr>
        <w:tblW w:w="6190" w:type="dxa"/>
        <w:jc w:val="left"/>
        <w:tblInd w:w="0" w:type="dxa"/>
        <w:tblLayout w:type="fixed"/>
        <w:tblCellMar>
          <w:top w:w="0" w:type="dxa"/>
          <w:left w:w="0" w:type="dxa"/>
          <w:bottom w:w="0" w:type="dxa"/>
          <w:right w:w="0" w:type="dxa"/>
        </w:tblCellMar>
      </w:tblPr>
      <w:tblGrid>
        <w:gridCol w:w="1951"/>
        <w:gridCol w:w="109"/>
        <w:gridCol w:w="237"/>
        <w:gridCol w:w="890"/>
        <w:gridCol w:w="131"/>
        <w:gridCol w:w="237"/>
        <w:gridCol w:w="890"/>
        <w:gridCol w:w="109"/>
        <w:gridCol w:w="16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Increase/(Decrease)</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Percent</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homecare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391,348 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358,042 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General inpatient</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35,673 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33,023 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19,396 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23,640 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6,206 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5,747 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452,623 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420,452 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 cap adjustment</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(500)</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(16,375)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96.9 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Room and board - net</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(3,938)</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(3,892)</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(4,844)</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(3,984)</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(21.6)</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9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443,341 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396,201 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11.9 </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Drain cleaning</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57,501 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55,557 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Plumbing</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47,901 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45,284 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Excavation</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61,563 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56,493 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9.0 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272 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45.5 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 short term core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167,237 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157,521 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restoration</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46,857 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49,824 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Independent contractors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17,118 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17,449 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Outside franchisee fees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1,443 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1,405 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4,297 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4,783 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Gross revenue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236,952 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230,982 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(7,042)</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(8,385)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16.0 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229,910 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222,597 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673,251 </w:t>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618,798 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Days of care at VITAS during the quarters were as follows:</w:t>
      </w:r>
    </w:p>
    <w:tbl>
      <w:tblPr>
        <w:tblW w:w="6905" w:type="dxa"/>
        <w:jc w:val="left"/>
        <w:tblInd w:w="0" w:type="dxa"/>
        <w:tblLayout w:type="fixed"/>
        <w:tblCellMar>
          <w:top w:w="0" w:type="dxa"/>
          <w:left w:w="0" w:type="dxa"/>
          <w:bottom w:w="0" w:type="dxa"/>
          <w:right w:w="0" w:type="dxa"/>
        </w:tblCellMar>
      </w:tblPr>
      <w:tblGrid>
        <w:gridCol w:w="2776"/>
        <w:gridCol w:w="1122"/>
        <w:gridCol w:w="140"/>
        <w:gridCol w:w="1122"/>
        <w:gridCol w:w="109"/>
        <w:gridCol w:w="1636"/>
      </w:tblGrid>
      <w:tr>
        <w:trPr/>
        <w:tc>
          <w:tcPr>
            <w:tcW w:w="27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2384"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Increase/(Decrease)</w:t>
            </w:r>
          </w:p>
        </w:tc>
      </w:tr>
      <w:tr>
        <w:trPr/>
        <w:tc>
          <w:tcPr>
            <w:tcW w:w="2776" w:type="dxa"/>
            <w:tcBorders/>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Percent</w:t>
            </w:r>
          </w:p>
        </w:tc>
      </w:tr>
      <w:tr>
        <w:trPr/>
        <w:tc>
          <w:tcPr>
            <w:tcW w:w="2776" w:type="dxa"/>
            <w:tcBorders/>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homecare</w:t>
            </w:r>
          </w:p>
        </w:tc>
        <w:tc>
          <w:tcPr>
            <w:tcW w:w="11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1,792,360 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1,662,455 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Nursing home</w:t>
            </w:r>
          </w:p>
        </w:tc>
        <w:tc>
          <w:tcPr>
            <w:tcW w:w="11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303,053 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307,158 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Respite</w:t>
            </w:r>
          </w:p>
        </w:tc>
        <w:tc>
          <w:tcPr>
            <w:tcW w:w="11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12,307 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11,440 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routine homecare and respite</w:t>
            </w:r>
          </w:p>
        </w:tc>
        <w:tc>
          <w:tcPr>
            <w:tcW w:w="11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2,107,720 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1,981,053 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6.4 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General inpatient</w:t>
            </w:r>
          </w:p>
        </w:tc>
        <w:tc>
          <w:tcPr>
            <w:tcW w:w="112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29,703 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28,213 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1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18,094 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21,647 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(16.4)</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days of care</w:t>
            </w:r>
          </w:p>
        </w:tc>
        <w:tc>
          <w:tcPr>
            <w:tcW w:w="11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2,155,517 </w:t>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2,030,913 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increase in service revenues at VITAS is comprised primarily of 6.1% increase in days-of-care and a geographically weighted average Medicare reimbursement rate increase of approximately 2.4%. Acuity mix shift negatively impacted revenue growth by 115-basis points in the quarter when compared to the prior year revenue and level-of-care mix. The combination of Medicare Cap and other contra revenue changes increased revenue growth by 455-basis points.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increase in plumbing revenues for the second quarter of 2026 versus 2025 is attributable to a 10.1% increase in price and service mix shift offset by a 4.3% decrease in job count. The increase in drain cleaning revenues for the second quarter of 2026 versus 2025 is attributable to a 6.5% increase in price and service mix offset by a 3.0% decrease in job count. The increase in excavation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for the second quarter of 2026 versus 2025 is attributable to a 5.5% increase in price and service mix shift and by a 3.5% increase in job count. Water restoration revenues decreased 6.0%, and contractors operations decreased 1.9%. Implicit price concessions and credit memos decreased 16.0% mainly related to the water restoration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consolidated gross margin was 32.9% in the second quarter of 2026 as compared with 29.8% in the second quarter of 2025. On a segment basis, VITAS’ gross margin was 23.8% in the second quarter of 2026 as compared with 19.1% in the second quarter of 2025. The increase was primarily related to increased revenues including a $15.9 million decrease in Medicare Cap billing limitation in the second quarter of 2026 compared to second quarter of 2025. The Roto-Rooter segment’s gross margin was 50.4% for the second quarter of 2026 compared with 49.0% in the second quarter of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and administrative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expenses (“SG&amp;A”) comprise (in thousands):</w:t>
      </w:r>
    </w:p>
    <w:tbl>
      <w:tblPr>
        <w:tblW w:w="10205" w:type="dxa"/>
        <w:jc w:val="left"/>
        <w:tblInd w:w="0" w:type="dxa"/>
        <w:tblLayout w:type="fixed"/>
        <w:tblCellMar>
          <w:top w:w="0" w:type="dxa"/>
          <w:left w:w="0" w:type="dxa"/>
          <w:bottom w:w="0" w:type="dxa"/>
          <w:right w:w="0" w:type="dxa"/>
        </w:tblCellMar>
      </w:tblPr>
      <w:tblGrid>
        <w:gridCol w:w="7877"/>
        <w:gridCol w:w="226"/>
        <w:gridCol w:w="848"/>
        <w:gridCol w:w="125"/>
        <w:gridCol w:w="226"/>
        <w:gridCol w:w="903"/>
      </w:tblGrid>
      <w:tr>
        <w:trPr/>
        <w:tc>
          <w:tcPr>
            <w:tcW w:w="78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7877" w:type="dxa"/>
            <w:tcBorders/>
            <w:vAlign w:val="center"/>
          </w:tcPr>
          <w:p>
            <w:pPr>
              <w:pStyle w:val="TableContents"/>
              <w:bidi w:val="0"/>
              <w:spacing w:before="0" w:after="283"/>
              <w:jc w:val="left"/>
              <w:rPr>
                <w:sz w:val="4"/>
                <w:szCs w:val="4"/>
              </w:rPr>
            </w:pPr>
            <w:r>
              <w:rPr>
                <w:sz w:val="4"/>
                <w:szCs w:val="4"/>
              </w:rPr>
            </w:r>
          </w:p>
        </w:tc>
        <w:tc>
          <w:tcPr>
            <w:tcW w:w="232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r>
      <w:tr>
        <w:trPr/>
        <w:tc>
          <w:tcPr>
            <w:tcW w:w="7877"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2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78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SG&amp;A expenses before long-term incentive compensation and the impact of market value adjustments related to deferred compensation trusts</w:t>
            </w:r>
          </w:p>
        </w:tc>
        <w:tc>
          <w:tcPr>
            <w:tcW w:w="2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109,256 </w:t>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0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98,552 </w:t>
            </w:r>
          </w:p>
        </w:tc>
      </w:tr>
      <w:tr>
        <w:trPr/>
        <w:tc>
          <w:tcPr>
            <w:tcW w:w="78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Impact of market value adjustments related to assets held in deferred compensation trusts</w:t>
            </w:r>
          </w:p>
        </w:tc>
        <w:tc>
          <w:tcPr>
            <w:tcW w:w="22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3,699 </w:t>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918 </w:t>
            </w:r>
          </w:p>
        </w:tc>
      </w:tr>
      <w:tr>
        <w:trPr/>
        <w:tc>
          <w:tcPr>
            <w:tcW w:w="78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2,248 </w:t>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853 </w:t>
            </w:r>
          </w:p>
        </w:tc>
      </w:tr>
      <w:tr>
        <w:trPr/>
        <w:tc>
          <w:tcPr>
            <w:tcW w:w="78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SG&amp;A expenses</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115,203 </w:t>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100,323 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SG&amp;A expenses before long-term incentive compensation and the impact of market value adjustments related to deferred compensation trusts for the second quarter of 2026 were up 10.9% when compared to the second quarter of 2025. Of this increase $2.9 million was the result of increased advertising at Roto-Rooter in the second quarter of 2026 compared to the second quarter of 2025. The remaining increase was the result of increased legal expenses of $1.3 million mainly at VITAS, normal salary increases and increased incentive compensation.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 net comprise (in thousands):</w:t>
      </w:r>
    </w:p>
    <w:tbl>
      <w:tblPr>
        <w:tblW w:w="7590" w:type="dxa"/>
        <w:jc w:val="left"/>
        <w:tblInd w:w="0" w:type="dxa"/>
        <w:tblLayout w:type="fixed"/>
        <w:tblCellMar>
          <w:top w:w="0" w:type="dxa"/>
          <w:left w:w="0" w:type="dxa"/>
          <w:bottom w:w="0" w:type="dxa"/>
          <w:right w:w="0" w:type="dxa"/>
        </w:tblCellMar>
      </w:tblPr>
      <w:tblGrid>
        <w:gridCol w:w="5161"/>
        <w:gridCol w:w="287"/>
        <w:gridCol w:w="815"/>
        <w:gridCol w:w="159"/>
        <w:gridCol w:w="287"/>
        <w:gridCol w:w="881"/>
      </w:tblGrid>
      <w:tr>
        <w:trPr/>
        <w:tc>
          <w:tcPr>
            <w:tcW w:w="5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242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r>
      <w:tr>
        <w:trPr/>
        <w:tc>
          <w:tcPr>
            <w:tcW w:w="5161"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Market value adjustment on assets held in deferred compensation trusts</w:t>
            </w:r>
          </w:p>
        </w:tc>
        <w:tc>
          <w:tcPr>
            <w:tcW w:w="287"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1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3,699 </w:t>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918 </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income</w:t>
            </w:r>
          </w:p>
        </w:tc>
        <w:tc>
          <w:tcPr>
            <w:tcW w:w="2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214 </w:t>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2,555 </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2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1 </w:t>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other income - net</w:t>
            </w:r>
          </w:p>
        </w:tc>
        <w:tc>
          <w:tcPr>
            <w:tcW w:w="28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8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3,914 </w:t>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3,474 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invest excess cash in money market funds with major commercial banks. We closely monitor the creditworthiness of the institutions with which we invest our overnight funds. Chemed invests excess cash in money market funds holding US Treasuries. Deposits and withdrawals are made daily, based on the Company’s excess cash balance. There are no penalties associated with withdrawals. The accounts bear interest at a normal market rate.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tax rate reconciliation is as follows (in thousands):</w:t>
      </w:r>
    </w:p>
    <w:tbl>
      <w:tblPr>
        <w:tblW w:w="7037" w:type="dxa"/>
        <w:jc w:val="left"/>
        <w:tblInd w:w="0" w:type="dxa"/>
        <w:tblLayout w:type="fixed"/>
        <w:tblCellMar>
          <w:top w:w="0" w:type="dxa"/>
          <w:left w:w="0" w:type="dxa"/>
          <w:bottom w:w="0" w:type="dxa"/>
          <w:right w:w="0" w:type="dxa"/>
        </w:tblCellMar>
      </w:tblPr>
      <w:tblGrid>
        <w:gridCol w:w="4261"/>
        <w:gridCol w:w="109"/>
        <w:gridCol w:w="229"/>
        <w:gridCol w:w="757"/>
        <w:gridCol w:w="282"/>
        <w:gridCol w:w="127"/>
        <w:gridCol w:w="229"/>
        <w:gridCol w:w="757"/>
        <w:gridCol w:w="286"/>
      </w:tblGrid>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 calculated at the statutory federal rate</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19,179 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14,934 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State and local income taxes, less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2,811 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2,261 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 compensation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445 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Other--net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1,191 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1,477 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23,626 </w:t>
            </w:r>
          </w:p>
        </w:tc>
        <w:tc>
          <w:tcPr>
            <w:tcW w:w="2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18,622 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25.9 </w:t>
            </w:r>
          </w:p>
        </w:tc>
        <w:tc>
          <w:tcPr>
            <w:tcW w:w="2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26.2 </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for both periods included the following after-tax items/adjustments that (reduced) or increased after-tax earnings (in thousands):</w:t>
      </w:r>
    </w:p>
    <w:tbl>
      <w:tblPr>
        <w:tblW w:w="6299" w:type="dxa"/>
        <w:jc w:val="left"/>
        <w:tblInd w:w="0" w:type="dxa"/>
        <w:tblLayout w:type="fixed"/>
        <w:tblCellMar>
          <w:top w:w="0" w:type="dxa"/>
          <w:left w:w="0" w:type="dxa"/>
          <w:bottom w:w="0" w:type="dxa"/>
          <w:right w:w="0" w:type="dxa"/>
        </w:tblCellMar>
      </w:tblPr>
      <w:tblGrid>
        <w:gridCol w:w="3871"/>
        <w:gridCol w:w="239"/>
        <w:gridCol w:w="881"/>
        <w:gridCol w:w="133"/>
        <w:gridCol w:w="239"/>
        <w:gridCol w:w="936"/>
      </w:tblGrid>
      <w:tr>
        <w:trPr/>
        <w:tc>
          <w:tcPr>
            <w:tcW w:w="38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jc w:val="left"/>
              <w:rPr>
                <w:sz w:val="4"/>
                <w:szCs w:val="4"/>
              </w:rPr>
            </w:pPr>
            <w:r>
              <w:rPr>
                <w:sz w:val="4"/>
                <w:szCs w:val="4"/>
              </w:rPr>
            </w:r>
          </w:p>
        </w:tc>
        <w:tc>
          <w:tcPr>
            <w:tcW w:w="242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r>
      <w:tr>
        <w:trPr/>
        <w:tc>
          <w:tcPr>
            <w:tcW w:w="3871"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Legal settlements</w:t>
            </w:r>
          </w:p>
        </w:tc>
        <w:tc>
          <w:tcPr>
            <w:tcW w:w="23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 expense</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(1,804)</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(1,806)</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 expense</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(7,604)</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(7,696)</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(2,016)</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(776)</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tax (expenses)/benefit on stock compensation</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(445)</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50 </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Total </w:t>
            </w:r>
          </w:p>
        </w:tc>
        <w:tc>
          <w:tcPr>
            <w:tcW w:w="2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(12,336)</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(10,228)</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Three months ended June 30, 2026 versus 2025 - Segment Results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income/(loss)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second quarter of 2026 versus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of 2025 by segment (in thousands):</w:t>
      </w:r>
    </w:p>
    <w:tbl>
      <w:tblPr>
        <w:tblW w:w="3434" w:type="dxa"/>
        <w:jc w:val="left"/>
        <w:tblInd w:w="0" w:type="dxa"/>
        <w:tblLayout w:type="fixed"/>
        <w:tblCellMar>
          <w:top w:w="0" w:type="dxa"/>
          <w:left w:w="0" w:type="dxa"/>
          <w:bottom w:w="0" w:type="dxa"/>
          <w:right w:w="0" w:type="dxa"/>
        </w:tblCellMar>
      </w:tblPr>
      <w:tblGrid>
        <w:gridCol w:w="1006"/>
        <w:gridCol w:w="239"/>
        <w:gridCol w:w="881"/>
        <w:gridCol w:w="133"/>
        <w:gridCol w:w="239"/>
        <w:gridCol w:w="936"/>
      </w:tblGrid>
      <w:tr>
        <w:trPr/>
        <w:tc>
          <w:tcPr>
            <w:tcW w:w="10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sz w:val="4"/>
                <w:szCs w:val="4"/>
              </w:rPr>
            </w:pPr>
            <w:r>
              <w:rPr>
                <w:sz w:val="4"/>
                <w:szCs w:val="4"/>
              </w:rPr>
            </w:r>
          </w:p>
        </w:tc>
        <w:tc>
          <w:tcPr>
            <w:tcW w:w="242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r>
      <w:tr>
        <w:trPr/>
        <w:tc>
          <w:tcPr>
            <w:tcW w:w="1006"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23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60,911 </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38,219 </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2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31,913 </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31,914 </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(25,121)</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(17,640)</w:t>
            </w:r>
          </w:p>
        </w:tc>
      </w:tr>
      <w:tr>
        <w:trPr/>
        <w:tc>
          <w:tcPr>
            <w:tcW w:w="1006"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67,703 </w:t>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52,493 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After-tax earnings as a percent of revenue at VITAS in the second quarter of 2026 was 13.7% as compared to 9.6% in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of 2025. VITAS’ after-tax earnings increased primarily due to increased revenues including a $15.9 million decrease in Medicare Cap liability in the second quarter of 2026 compared to the second quarter of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Roto-Rooter’s net income was essentially flat when compared with the same quarter of 2025 but was negatively impacted by an increase in marketing expenses. Roto-Rooter’s after-tax earnings as a percent of revenue in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second quarter of 2026 was 13.9%, as compared to 14.3% in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of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After-tax Corporate expenses for the second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of 2026 increased 42.4% when compared to the second quarter in 2025 due primarily to a $2.3 million decrease in interest income related to lower cash and investment balances and a $1.3 million increase in interest expense related to an increase in long-term debt as a result of stock repurchases and Roto-Rooter acquisitions, a $1.6 million increase in intercompany interest expense, a $1.1 million increase in stock-based compensation and a $495,000 decrease in excess tax benefit related to reduced stock option exercises.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Six months ended June 30, 2026 versus 2025 - Consolidated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service revenues and sales for the first six months of 2026 increased 5.1% versus services revenue and sales for the first six months of 2025. Of this increase, a $59.8 million increase was attributable to VITAS, and a $5.3 million increase at Roto-Rooter. The following chart shows the components of revenue by operating segment (in thousands):</w:t>
      </w:r>
    </w:p>
    <w:tbl>
      <w:tblPr>
        <w:tblW w:w="6048" w:type="dxa"/>
        <w:jc w:val="left"/>
        <w:tblInd w:w="0" w:type="dxa"/>
        <w:tblLayout w:type="fixed"/>
        <w:tblCellMar>
          <w:top w:w="0" w:type="dxa"/>
          <w:left w:w="0" w:type="dxa"/>
          <w:bottom w:w="0" w:type="dxa"/>
          <w:right w:w="0" w:type="dxa"/>
        </w:tblCellMar>
      </w:tblPr>
      <w:tblGrid>
        <w:gridCol w:w="1951"/>
        <w:gridCol w:w="109"/>
        <w:gridCol w:w="196"/>
        <w:gridCol w:w="871"/>
        <w:gridCol w:w="109"/>
        <w:gridCol w:w="196"/>
        <w:gridCol w:w="871"/>
        <w:gridCol w:w="109"/>
        <w:gridCol w:w="16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Increase/(Decrease)</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Percent</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homecare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762,438 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709,608 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General inpatient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71,599 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67,045 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48,276 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(22.3)</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11,783 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11,092 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883,350 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836,021 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Medicare cap adjustment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(18,700)</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84.6 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Room and board -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(7,196)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(7,417)</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(9,921)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(6,304)</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(57.4)</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863,358 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803,600 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7.4 </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Drain cleaning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117,235 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115,099 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Plumbing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97,485 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91,344 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Excavation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125,073 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120,731 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376 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33.2 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 short term core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340,294 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327,550 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restoration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94,706 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103,987 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Independent contractors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34,884 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35,811 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Outside franchisee fees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2,964 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2,828 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9,386 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9,678 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Gross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482,234 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479,854 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0.5 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Implicit price concessions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(17,713)</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16.3 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467,406 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462,141 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1,330,764 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1,265,741 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Days of care at VITAS during the six months ended June 30 were as follows: </w:t>
      </w:r>
    </w:p>
    <w:tbl>
      <w:tblPr>
        <w:tblW w:w="6695" w:type="dxa"/>
        <w:jc w:val="left"/>
        <w:tblInd w:w="0" w:type="dxa"/>
        <w:tblLayout w:type="fixed"/>
        <w:tblCellMar>
          <w:top w:w="0" w:type="dxa"/>
          <w:left w:w="0" w:type="dxa"/>
          <w:bottom w:w="0" w:type="dxa"/>
          <w:right w:w="0" w:type="dxa"/>
        </w:tblCellMar>
      </w:tblPr>
      <w:tblGrid>
        <w:gridCol w:w="2776"/>
        <w:gridCol w:w="1023"/>
        <w:gridCol w:w="128"/>
        <w:gridCol w:w="1023"/>
        <w:gridCol w:w="109"/>
        <w:gridCol w:w="1636"/>
      </w:tblGrid>
      <w:tr>
        <w:trPr/>
        <w:tc>
          <w:tcPr>
            <w:tcW w:w="27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2174"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Increase/(Decrease)</w:t>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Percent</w:t>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Routine homecare</w:t>
            </w:r>
          </w:p>
        </w:tc>
        <w:tc>
          <w:tcPr>
            <w:tcW w:w="102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3,483,979 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3,295,024 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Nursing home</w:t>
            </w:r>
          </w:p>
        </w:tc>
        <w:tc>
          <w:tcPr>
            <w:tcW w:w="102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597,871 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614,266 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Respite</w:t>
            </w:r>
          </w:p>
        </w:tc>
        <w:tc>
          <w:tcPr>
            <w:tcW w:w="102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23,182 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21,435 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8.2 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 routine homecare and respite</w:t>
            </w:r>
          </w:p>
        </w:tc>
        <w:tc>
          <w:tcPr>
            <w:tcW w:w="10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4,105,032 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3,930,725 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General inpatient</w:t>
            </w:r>
          </w:p>
        </w:tc>
        <w:tc>
          <w:tcPr>
            <w:tcW w:w="102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60,177 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57,917 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3.9 </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Continuous care</w:t>
            </w:r>
          </w:p>
        </w:tc>
        <w:tc>
          <w:tcPr>
            <w:tcW w:w="102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35,382 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44,267 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(20.1)</w:t>
            </w:r>
          </w:p>
        </w:tc>
      </w:tr>
      <w:tr>
        <w:trPr/>
        <w:tc>
          <w:tcPr>
            <w:tcW w:w="27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days of care</w:t>
            </w:r>
          </w:p>
        </w:tc>
        <w:tc>
          <w:tcPr>
            <w:tcW w:w="10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4,200,591 </w:t>
            </w:r>
          </w:p>
        </w:tc>
        <w:tc>
          <w:tcPr>
            <w:tcW w:w="128"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4,032,909 </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increase in service revenues at VITAS is comprised primarily of 4.2% increase in days-of-care and a geographically weighted average Medicare reimbursement rate increase of approximately 2.5%. Acuity mix shift negatively impacted revenue growth by 120-basis points in the year when compared to the prior year revenue and level-of-care mix. The combination of Medicare Cap and other contra revenue changes increased revenue growth by 190-basis points.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increase in plumbing revenues for the first six months of 2026 versus 2025 is attributable to a 12.0% increase in price and service mix shift offset by a 5.3% decrease in job count. The increase in drain cleaning revenues for the first six months of 2026 versus 2025 is attributable to a 9.5% increase in price and service mix offset by a 7.6% decrease in job count. The increase in excavation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for the first six months of 2026 versus 2025 is attributable to an 8.3% increase in price and service mix shift offset by a 4.7% decrease in job count. Water restoration revenues decreased 8.9%, and contractors operations decreased 2.6%. Implicit price concessions and credit memos decreased 16.3% mainly related to the water restoration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consolidated gross margin was 32.9% in the first six months of 2026 as compared with 31.7% in the first six months of 2025. On a segment basis, VITAS’ gross margin was 23.2% in the first six months of 2026 as compared with 21.2% in the first six months of 2025. The increase was primarily related to increased revenues including a $15.8 million decrease in Medicare Cap billing limitation in the first six months of 2026 compared to the first six months of 2025. The Roto-Rooter segment’s gross margin was 50.7% for the first six months of 2026 which was almost equal to the first six months of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and administrative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expenses (“SG&amp;A”) comprise (in thousands):</w:t>
      </w:r>
    </w:p>
    <w:tbl>
      <w:tblPr>
        <w:tblW w:w="10205" w:type="dxa"/>
        <w:jc w:val="left"/>
        <w:tblInd w:w="0" w:type="dxa"/>
        <w:tblLayout w:type="fixed"/>
        <w:tblCellMar>
          <w:top w:w="0" w:type="dxa"/>
          <w:left w:w="0" w:type="dxa"/>
          <w:bottom w:w="0" w:type="dxa"/>
          <w:right w:w="0" w:type="dxa"/>
        </w:tblCellMar>
      </w:tblPr>
      <w:tblGrid>
        <w:gridCol w:w="8033"/>
        <w:gridCol w:w="210"/>
        <w:gridCol w:w="792"/>
        <w:gridCol w:w="116"/>
        <w:gridCol w:w="210"/>
        <w:gridCol w:w="844"/>
      </w:tblGrid>
      <w:tr>
        <w:trPr/>
        <w:tc>
          <w:tcPr>
            <w:tcW w:w="80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8033" w:type="dxa"/>
            <w:tcBorders/>
            <w:vAlign w:val="center"/>
          </w:tcPr>
          <w:p>
            <w:pPr>
              <w:pStyle w:val="TableContents"/>
              <w:bidi w:val="0"/>
              <w:spacing w:before="0" w:after="283"/>
              <w:jc w:val="left"/>
              <w:rPr>
                <w:sz w:val="4"/>
                <w:szCs w:val="4"/>
              </w:rPr>
            </w:pPr>
            <w:r>
              <w:rPr>
                <w:sz w:val="4"/>
                <w:szCs w:val="4"/>
              </w:rPr>
            </w:r>
          </w:p>
        </w:tc>
        <w:tc>
          <w:tcPr>
            <w:tcW w:w="2172"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8033"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80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SG&amp;A expenses before long-term incentive compensation and the impact of market value adjustments related to deferred compensation trusts</w:t>
            </w:r>
          </w:p>
        </w:tc>
        <w:tc>
          <w:tcPr>
            <w:tcW w:w="21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9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218,187 </w:t>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202,312 </w:t>
            </w:r>
          </w:p>
        </w:tc>
      </w:tr>
      <w:tr>
        <w:trPr/>
        <w:tc>
          <w:tcPr>
            <w:tcW w:w="80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Impact of market value adjustments related to assets held in deferred compensation trusts</w:t>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7,584 </w:t>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88 </w:t>
            </w:r>
          </w:p>
        </w:tc>
      </w:tr>
      <w:tr>
        <w:trPr/>
        <w:tc>
          <w:tcPr>
            <w:tcW w:w="80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3,753 </w:t>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3,510 </w:t>
            </w:r>
          </w:p>
        </w:tc>
      </w:tr>
      <w:tr>
        <w:trPr/>
        <w:tc>
          <w:tcPr>
            <w:tcW w:w="80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SG&amp;A expenses</w:t>
            </w:r>
          </w:p>
        </w:tc>
        <w:tc>
          <w:tcPr>
            <w:tcW w:w="2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229,524 </w:t>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205,910 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SG&amp;A expenses before long-term incentive compensation and the impact of market value adjustments related to deferred compensation trusts for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2026 were up 7.8% when compared to the first six months of 2025. $6.7 million of this increase was the result of increased advertising at Roto-Rooter in the first six months of 2026 compared to the first six months of 2025. The remaining increase was the result of increased legal expense of $2.5 million mainly at VITAS, normal salary increases and increased incentive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 net comprise (in thousands):</w:t>
      </w:r>
    </w:p>
    <w:tbl>
      <w:tblPr>
        <w:tblW w:w="7380" w:type="dxa"/>
        <w:jc w:val="left"/>
        <w:tblInd w:w="0" w:type="dxa"/>
        <w:tblLayout w:type="fixed"/>
        <w:tblCellMar>
          <w:top w:w="0" w:type="dxa"/>
          <w:left w:w="0" w:type="dxa"/>
          <w:bottom w:w="0" w:type="dxa"/>
          <w:right w:w="0" w:type="dxa"/>
        </w:tblCellMar>
      </w:tblPr>
      <w:tblGrid>
        <w:gridCol w:w="5161"/>
        <w:gridCol w:w="262"/>
        <w:gridCol w:w="744"/>
        <w:gridCol w:w="146"/>
        <w:gridCol w:w="262"/>
        <w:gridCol w:w="805"/>
      </w:tblGrid>
      <w:tr>
        <w:trPr/>
        <w:tc>
          <w:tcPr>
            <w:tcW w:w="51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221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5161"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Market value adjustment on assets held in deferred compensation trusts</w:t>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4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7,584 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88 </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income</w:t>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1,104 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4,631 </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other income - net</w:t>
            </w:r>
          </w:p>
        </w:tc>
        <w:tc>
          <w:tcPr>
            <w:tcW w:w="2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7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8,688 </w:t>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4,719 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invest excess cash in money market funds with major commercial banks. We closely monitor the creditworthiness of the institutions with which we invest our overnight funds. Chemed invests excess cash in money market funds holding US Treasuries. Deposits and withdrawals are made daily, based on the Company’s excess cash balance. There are no penalties associated with withdrawals. The accounts bear interest at a normal market rate.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effective tax rate reconciliation is as follows (in thousands):</w:t>
      </w:r>
    </w:p>
    <w:tbl>
      <w:tblPr>
        <w:tblW w:w="6829" w:type="dxa"/>
        <w:jc w:val="left"/>
        <w:tblInd w:w="0" w:type="dxa"/>
        <w:tblLayout w:type="fixed"/>
        <w:tblCellMar>
          <w:top w:w="0" w:type="dxa"/>
          <w:left w:w="0" w:type="dxa"/>
          <w:bottom w:w="0" w:type="dxa"/>
          <w:right w:w="0" w:type="dxa"/>
        </w:tblCellMar>
      </w:tblPr>
      <w:tblGrid>
        <w:gridCol w:w="4261"/>
        <w:gridCol w:w="109"/>
        <w:gridCol w:w="209"/>
        <w:gridCol w:w="691"/>
        <w:gridCol w:w="257"/>
        <w:gridCol w:w="116"/>
        <w:gridCol w:w="209"/>
        <w:gridCol w:w="691"/>
        <w:gridCol w:w="286"/>
      </w:tblGrid>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3"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2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 calculated at the statutory federal rate</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37,835 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35,026 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State and local income taxes, less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5,529 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6,448 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 compensation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501 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(513)</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Other--net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2,299 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1,578 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46,164 </w:t>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42,539 </w:t>
            </w:r>
          </w:p>
        </w:tc>
        <w:tc>
          <w:tcPr>
            <w:tcW w:w="28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25.6 </w:t>
            </w:r>
          </w:p>
        </w:tc>
        <w:tc>
          <w:tcPr>
            <w:tcW w:w="2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25.5 </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income for both periods include the following after tax items/adjustments that (reduce) or increased after tax earnings (in thousands): </w:t>
      </w:r>
    </w:p>
    <w:tbl>
      <w:tblPr>
        <w:tblW w:w="6163" w:type="dxa"/>
        <w:jc w:val="left"/>
        <w:tblInd w:w="0" w:type="dxa"/>
        <w:tblLayout w:type="fixed"/>
        <w:tblCellMar>
          <w:top w:w="0" w:type="dxa"/>
          <w:left w:w="0" w:type="dxa"/>
          <w:bottom w:w="0" w:type="dxa"/>
          <w:right w:w="0" w:type="dxa"/>
        </w:tblCellMar>
      </w:tblPr>
      <w:tblGrid>
        <w:gridCol w:w="3946"/>
        <w:gridCol w:w="218"/>
        <w:gridCol w:w="805"/>
        <w:gridCol w:w="121"/>
        <w:gridCol w:w="218"/>
        <w:gridCol w:w="855"/>
      </w:tblGrid>
      <w:tr>
        <w:trPr/>
        <w:tc>
          <w:tcPr>
            <w:tcW w:w="39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22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Legal settlements</w:t>
            </w:r>
          </w:p>
        </w:tc>
        <w:tc>
          <w:tcPr>
            <w:tcW w:w="21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 expense</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(3,608)</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(3,613)</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 expense</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(173)</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(15,354)</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(15,317)</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(3,359)</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(3,129)</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tax (expenses)/benefits on stock compensation</w:t>
            </w:r>
          </w:p>
        </w:tc>
        <w:tc>
          <w:tcPr>
            <w:tcW w:w="2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(501)</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513 </w:t>
            </w:r>
          </w:p>
        </w:tc>
      </w:tr>
      <w:tr>
        <w:trPr/>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Total </w:t>
            </w:r>
          </w:p>
        </w:tc>
        <w:tc>
          <w:tcPr>
            <w:tcW w:w="2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(23,416)</w:t>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(21,546)</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Six months ended June 30, 2026 versus 2025 - Segment Results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income/(loss) for the first six months of 2026 versus the first six months of 2025 by segment (in thousands):</w:t>
      </w:r>
    </w:p>
    <w:tbl>
      <w:tblPr>
        <w:tblW w:w="3224" w:type="dxa"/>
        <w:jc w:val="left"/>
        <w:tblInd w:w="0" w:type="dxa"/>
        <w:tblLayout w:type="fixed"/>
        <w:tblCellMar>
          <w:top w:w="0" w:type="dxa"/>
          <w:left w:w="0" w:type="dxa"/>
          <w:bottom w:w="0" w:type="dxa"/>
          <w:right w:w="0" w:type="dxa"/>
        </w:tblCellMar>
      </w:tblPr>
      <w:tblGrid>
        <w:gridCol w:w="1006"/>
        <w:gridCol w:w="215"/>
        <w:gridCol w:w="810"/>
        <w:gridCol w:w="119"/>
        <w:gridCol w:w="215"/>
        <w:gridCol w:w="859"/>
      </w:tblGrid>
      <w:tr>
        <w:trPr/>
        <w:tc>
          <w:tcPr>
            <w:tcW w:w="10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sz w:val="4"/>
                <w:szCs w:val="4"/>
              </w:rPr>
            </w:pPr>
            <w:r>
              <w:rPr>
                <w:sz w:val="4"/>
                <w:szCs w:val="4"/>
              </w:rPr>
            </w:r>
          </w:p>
        </w:tc>
        <w:tc>
          <w:tcPr>
            <w:tcW w:w="221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1006" w:type="dxa"/>
            <w:tcBorders/>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21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113,118 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88,249 </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67,697 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71,858 </w:t>
            </w:r>
          </w:p>
        </w:tc>
      </w:tr>
      <w:tr>
        <w:trPr/>
        <w:tc>
          <w:tcPr>
            <w:tcW w:w="1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(46,810)</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(35,857)</w:t>
            </w:r>
          </w:p>
        </w:tc>
      </w:tr>
      <w:tr>
        <w:trPr/>
        <w:tc>
          <w:tcPr>
            <w:tcW w:w="1006"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134,005 </w:t>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124,250 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After-tax earnings as a percent of revenue at VITAS in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2026 was 13.1% as compared to 11.0% in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2025. The increase was primarily related to increased revenues including a $15.8 million decrease in Medicare Cap liability in the first six months of 2026 compared to the first six months of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Roto-Rooter’s net income was negatively impacted in the first six months of 2026 compared to the first six months of 2025 due mainly to an increase in marketing expenses. Roto-Rooter’s after-tax earnings as a percent of revenue in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2026 was 14.5%, as compared to 15.5% in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After-tax Corporate expenses for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2026 increased 30.5% when compared to the first six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2025 due primarily to a $3.5 million decrease in interest income related to lower cash and investment balances and a $1.5 million increase in interest expense related to an increase in long-term debt as a result of stock repurchases and Roto-Rooter acquisitions, a $3.2 million increase in intercompany interest expense, and a $1.0 million decrease in excess tax benefit related to reduced stock option exercises.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05"/>
        <w:gridCol w:w="196"/>
        <w:gridCol w:w="1586"/>
        <w:gridCol w:w="109"/>
        <w:gridCol w:w="196"/>
        <w:gridCol w:w="1586"/>
        <w:gridCol w:w="109"/>
        <w:gridCol w:w="196"/>
        <w:gridCol w:w="1586"/>
        <w:gridCol w:w="109"/>
        <w:gridCol w:w="196"/>
        <w:gridCol w:w="1631"/>
      </w:tblGrid>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CONSOLIDATING STATEMENTS OF INCOME</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THREE MONTHS ENDED JUNE 30, 2026</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thousands)(unaudited)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 (a)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70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Service revenues and sales</w:t>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443,341 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229,910 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673,251 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Cost of services provided and goods sold</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337,691 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114,089 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451,780 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Selling, general and administrative expenses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26,105 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67,373 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21,725 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115,203 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5,781 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8,474 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14,267 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2,692 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2,719 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operating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78 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costs and expenses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369,632 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192,678 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21,737 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584,047 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Income/(loss) from operations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73,709 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37,232 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(21,737)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89,204 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(1,789)</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Intercompany interest income/(expense)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6,480 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4,575 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(11,055)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income—net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3,838 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3,914 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Income/(expense) before income taxes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80,201 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41,632 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(30,504)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91,329 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 taxes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(19,290)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(9,719)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5,383 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(23,626)</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income/(loss)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60,911 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31,913 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(25,121)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67,703 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 The following amounts are included in net income (in thousands):</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Pretax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(9,052)</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(2,352)</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Acquisition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(68)</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(2,412)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(11,300)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(14,268)</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After-tax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(7,604)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(7,604)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(2,016)</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(1,804)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Acquisition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Excess tax expense on stock compensation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(445)</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(10,065)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(12,336)</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05"/>
        <w:gridCol w:w="196"/>
        <w:gridCol w:w="1586"/>
        <w:gridCol w:w="109"/>
        <w:gridCol w:w="196"/>
        <w:gridCol w:w="1586"/>
        <w:gridCol w:w="109"/>
        <w:gridCol w:w="196"/>
        <w:gridCol w:w="1586"/>
        <w:gridCol w:w="109"/>
        <w:gridCol w:w="196"/>
        <w:gridCol w:w="1631"/>
      </w:tblGrid>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CONSOLIDATING STATEMENTS OF INCOME</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THREE MONTHS ENDED JUNE 30, 2025</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thousands)(unaudited)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 (a)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70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396,201 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222,597 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618,798 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Cost of services provided and goods sold</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320,644 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113,461 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434,105 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Selling, general and administrative expenses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25,085 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60,536 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14,702 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100,323 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8,363 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13,689 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2,571 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operating expense/(income)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costs and expenses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351,124 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184,876 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550,714 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Income/(loss) from operations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45,077 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37,721 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(14,714)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68,084 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(443)</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Intercompany interest income/(expense)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5,454 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income—net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3,390 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3,474 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Income/(expense) before income taxes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50,545 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41,585 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71,115 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(9,671)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3,375 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(18,622)</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income/(loss)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38,219 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31,914 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52,493 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 The following amounts are included in net income (in thousands):</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Pretax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(9,216)</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(2,352)</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(12,421)</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After-tax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(7,696)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(7,696)</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(1,806)</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(776)</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tax benefits on stock compensation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(10,228)</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05"/>
        <w:gridCol w:w="196"/>
        <w:gridCol w:w="1586"/>
        <w:gridCol w:w="109"/>
        <w:gridCol w:w="196"/>
        <w:gridCol w:w="1586"/>
        <w:gridCol w:w="109"/>
        <w:gridCol w:w="196"/>
        <w:gridCol w:w="1586"/>
        <w:gridCol w:w="109"/>
        <w:gridCol w:w="196"/>
        <w:gridCol w:w="1631"/>
      </w:tblGrid>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CONSOLIDATING STATEMENTS OF INCOME</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SIX MONTHS ENDED JUNE 30, 2026</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thousands)(unaudited)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 (a)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70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Service revenues and sales</w:t>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863,358 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467,406 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1,330,764 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Cost of services provided and goods sold</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663,157 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230,372 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893,529 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Selling, general and administrative expenses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52,213 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135,302 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42,009 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229,524 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11,693 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16,853 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28,570 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5,289 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operating expense/(income)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70 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costs and expenses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727,196 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387,754 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42,032 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1,156,982 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Income/(loss) from operations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136,162 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79,652 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(42,032)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173,782 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(2,301)</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Intercompany interest income/(expense)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12,717 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9,088 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(21,805)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 income—net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8,502 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8,688 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Income/(expense) before income taxes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148,936 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88,444 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(57,211)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180,169 </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Income taxes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(35,818)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(20,747)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10,401 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(46,164)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Net income/(loss)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113,118 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67,697 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(46,810)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134,005 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 The following amounts are included in net income (in thousands):</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Pretax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(18,302)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(18,302)</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(4,704)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(4,704)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Acquisition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(4,930)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(22,055)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(27,541)</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After-tax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(15,354)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(15,354)</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(3,608)</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(3,359)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(3,359)</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Acquisition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(179)</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Excess tax expense on stock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(501)</w:t>
            </w:r>
          </w:p>
        </w:tc>
      </w:tr>
      <w:tr>
        <w:trPr/>
        <w:tc>
          <w:tcPr>
            <w:tcW w:w="270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(3,781)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(19,214)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(23,416)</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05"/>
        <w:gridCol w:w="196"/>
        <w:gridCol w:w="1586"/>
        <w:gridCol w:w="109"/>
        <w:gridCol w:w="196"/>
        <w:gridCol w:w="1586"/>
        <w:gridCol w:w="109"/>
        <w:gridCol w:w="196"/>
        <w:gridCol w:w="1586"/>
        <w:gridCol w:w="109"/>
        <w:gridCol w:w="196"/>
        <w:gridCol w:w="1631"/>
      </w:tblGrid>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CHEMED CORPORATION AND SUBSIDIARY COMPANIES</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CONSOLIDATING STATEMENTS OF INCOME</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SIX MONTHS ENDED JUNE 30, 2025</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thousands)(unaudited)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 (a)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70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Service revenues and sales</w:t>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803,600 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462,141 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1,265,741 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Cost of services provided and goods sold</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633,451 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231,184 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864,635 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Selling, general and administrative expenses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51,624 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123,184 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31,102 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205,910 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16,601 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27,134 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5,091 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5,143 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operating expense/(income)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costs and expenses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695,755 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376,018 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1,102,899 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Income/(loss) from operations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107,845 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86,123 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162,842 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(772)</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Intercompany interest income/(expense)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income - 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4,577 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4,719 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Income/(expense) before income taxes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118,610 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93,794 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(45,615)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166,789 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(30,361)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(21,936)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(42,539)</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income/(loss)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88,249 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71,858 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124,250 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 The following amounts are included in net income (in thousands):</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Pretax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(18,307)</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(4,704)</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(21,817)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(26,521)</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After-tax benefit/(cost):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 option expense</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(15,317)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(15,317)</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reacquired franchise agreements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(3,613)</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(3,129)</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tax benefits on stock compensation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513 </w:t>
            </w:r>
          </w:p>
        </w:tc>
      </w:tr>
      <w:tr>
        <w:trPr/>
        <w:tc>
          <w:tcPr>
            <w:tcW w:w="27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(17,933)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(21,546)</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815" w:type="dxa"/>
        <w:jc w:val="left"/>
        <w:tblInd w:w="0" w:type="dxa"/>
        <w:tblLayout w:type="fixed"/>
        <w:tblCellMar>
          <w:top w:w="0" w:type="dxa"/>
          <w:left w:w="0" w:type="dxa"/>
          <w:bottom w:w="0" w:type="dxa"/>
          <w:right w:w="0" w:type="dxa"/>
        </w:tblCellMar>
      </w:tblPr>
      <w:tblGrid>
        <w:gridCol w:w="126"/>
        <w:gridCol w:w="3054"/>
        <w:gridCol w:w="196"/>
        <w:gridCol w:w="1586"/>
        <w:gridCol w:w="109"/>
        <w:gridCol w:w="196"/>
        <w:gridCol w:w="1586"/>
        <w:gridCol w:w="109"/>
        <w:gridCol w:w="196"/>
        <w:gridCol w:w="721"/>
        <w:gridCol w:w="109"/>
        <w:gridCol w:w="196"/>
        <w:gridCol w:w="1631"/>
      </w:tblGrid>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9815" w:type="dxa"/>
            <w:gridSpan w:val="1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8"/>
              </w:rPr>
            </w:pPr>
            <w:r>
              <w:rPr>
                <w:rFonts w:ascii="Times New Roman;serif" w:hAnsi="Times New Roman;serif"/>
                <w:b/>
                <w:i w:val="false"/>
                <w:caps w:val="false"/>
                <w:smallCaps w:val="false"/>
                <w:color w:val="000000"/>
                <w:sz w:val="28"/>
              </w:rPr>
              <w:t xml:space="preserve">Unaudited Consolidating Summary and Reconciliation of Adjusted EBITDA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7879" w:type="dxa"/>
            <w:gridSpan w:val="10"/>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Chemed Corporation and Subsidiary Companies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80" w:type="dxa"/>
            <w:gridSpan w:val="2"/>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 thousands)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3180"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 the three months ended June 30, 2026</w:t>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1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0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60,911 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31,913 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(25,121)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67,703 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1,789 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Income taxes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19,290 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9,719 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(5,383)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23,626 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5,781 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8,474 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14,267 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Amortization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2,692 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2,719 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EBITDA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86,063 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52,983 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(28,942)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110,104 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Intercompany interest expense/(income)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(6,480)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(4,575)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11,055 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 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(214)</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Stock option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9,052 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9,052 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Acquisition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68 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Adjusted EBITDA</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80,073 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48,458 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121,806 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Chemed</w:t>
            </w:r>
          </w:p>
        </w:tc>
      </w:tr>
      <w:tr>
        <w:trPr/>
        <w:tc>
          <w:tcPr>
            <w:tcW w:w="3180"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For the three months ended June 30, 2025</w:t>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r>
      <w:tr>
        <w:trPr/>
        <w:tc>
          <w:tcPr>
            <w:tcW w:w="1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0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38,219 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31,914 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(17,640)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52,493 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443 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9,671 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18,622 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8,363 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13,689 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Amortization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2,571 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EBITDA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55,932 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52,622 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87,818 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Intercompany interest expense/(income)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(2,556)</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Stock option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9,216 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9,216 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EBITDA</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50,417 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48,629 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95,331 </w:t>
            </w:r>
          </w:p>
        </w:tc>
      </w:tr>
      <w:tr>
        <w:trPr/>
        <w:tc>
          <w:tcPr>
            <w:tcW w:w="12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tbl>
      <w:tblPr>
        <w:tblW w:w="9745" w:type="dxa"/>
        <w:jc w:val="left"/>
        <w:tblInd w:w="0" w:type="dxa"/>
        <w:tblLayout w:type="fixed"/>
        <w:tblCellMar>
          <w:top w:w="0" w:type="dxa"/>
          <w:left w:w="0" w:type="dxa"/>
          <w:bottom w:w="0" w:type="dxa"/>
          <w:right w:w="0" w:type="dxa"/>
        </w:tblCellMar>
      </w:tblPr>
      <w:tblGrid>
        <w:gridCol w:w="124"/>
        <w:gridCol w:w="2986"/>
        <w:gridCol w:w="196"/>
        <w:gridCol w:w="1586"/>
        <w:gridCol w:w="109"/>
        <w:gridCol w:w="196"/>
        <w:gridCol w:w="1586"/>
        <w:gridCol w:w="109"/>
        <w:gridCol w:w="196"/>
        <w:gridCol w:w="721"/>
        <w:gridCol w:w="109"/>
        <w:gridCol w:w="196"/>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9745" w:type="dxa"/>
            <w:gridSpan w:val="1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8"/>
              </w:rPr>
            </w:pPr>
            <w:r>
              <w:rPr>
                <w:rFonts w:ascii="Times New Roman;serif" w:hAnsi="Times New Roman;serif"/>
                <w:b/>
                <w:i w:val="false"/>
                <w:caps w:val="false"/>
                <w:smallCaps w:val="false"/>
                <w:color w:val="000000"/>
                <w:sz w:val="28"/>
              </w:rPr>
              <w:t xml:space="preserve">Unaudited Consolidating Summary and Reconciliation of Adjusted EBITDA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7809" w:type="dxa"/>
            <w:gridSpan w:val="10"/>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Chemed Corporation and Subsidiary Companies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10" w:type="dxa"/>
            <w:gridSpan w:val="2"/>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 thousands)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Chemed</w:t>
            </w:r>
          </w:p>
        </w:tc>
      </w:tr>
      <w:tr>
        <w:trPr/>
        <w:tc>
          <w:tcPr>
            <w:tcW w:w="3110"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 the six months ended June 30, 2026</w:t>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VITAS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Roto-Rooter</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Corporate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Consolidated</w:t>
            </w:r>
          </w:p>
        </w:tc>
      </w:tr>
      <w:tr>
        <w:trPr/>
        <w:tc>
          <w:tcPr>
            <w:tcW w:w="1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9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113,118 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67,697 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(46,810)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134,005 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321 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1,876 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2,301 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Income taxes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35,818 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20,747 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(10,401)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46,164 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11,693 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16,853 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28,570 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Amortization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5,289 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EBITDA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160,786 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110,854 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(55,311)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216,329 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Intercompany interest expense/(income)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(12,717)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(9,088)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21,805 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 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(917)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(1,104)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Stock option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18,302 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18,302 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Legal settlements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Acquisition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234 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Adjusted EBITDA</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148,463 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101,967 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(12,368)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238,062 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Chemed</w:t>
            </w:r>
          </w:p>
        </w:tc>
      </w:tr>
      <w:tr>
        <w:trPr/>
        <w:tc>
          <w:tcPr>
            <w:tcW w:w="3110"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For the six months ended June 30, 2025</w:t>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VITAS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Roto-Rooter</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Corporate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r>
      <w:tr>
        <w:trPr/>
        <w:tc>
          <w:tcPr>
            <w:tcW w:w="1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9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88,249 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71,858 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124,250 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772 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taxes</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30,361 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21,936 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(9,758)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42,539 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16,601 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27,134 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Amortization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5,091 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5,143 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EBITDA</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129,266 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115,747 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(45,175)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199,838 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Intercompany interest expense/(income)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income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(4,489)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(4,632)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Stock option expense</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18,307 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18,307 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Long-term incentive compensation</w:t>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EBITDA</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118,406 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107,814 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6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217,023 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4437"/>
        <w:gridCol w:w="318"/>
        <w:gridCol w:w="1051"/>
        <w:gridCol w:w="176"/>
        <w:gridCol w:w="318"/>
        <w:gridCol w:w="1051"/>
        <w:gridCol w:w="129"/>
        <w:gridCol w:w="263"/>
        <w:gridCol w:w="992"/>
        <w:gridCol w:w="146"/>
        <w:gridCol w:w="263"/>
        <w:gridCol w:w="1061"/>
      </w:tblGrid>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RECONCILIATION OF ADJUSTED NET INCOME</w:t>
            </w:r>
          </w:p>
        </w:tc>
      </w:tr>
      <w:tr>
        <w:trPr/>
        <w:tc>
          <w:tcPr>
            <w:tcW w:w="10205" w:type="dxa"/>
            <w:gridSpan w:val="1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 thousands, except per share data)(unaudited)</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before="0" w:after="283"/>
              <w:jc w:val="left"/>
              <w:rPr>
                <w:sz w:val="4"/>
                <w:szCs w:val="4"/>
              </w:rPr>
            </w:pPr>
            <w:r>
              <w:rPr>
                <w:sz w:val="4"/>
                <w:szCs w:val="4"/>
              </w:rPr>
            </w:r>
          </w:p>
        </w:tc>
        <w:tc>
          <w:tcPr>
            <w:tcW w:w="291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29" w:type="dxa"/>
            <w:tcBorders/>
            <w:vAlign w:val="center"/>
          </w:tcPr>
          <w:p>
            <w:pPr>
              <w:pStyle w:val="TableContents"/>
              <w:bidi w:val="0"/>
              <w:spacing w:before="0" w:after="283"/>
              <w:jc w:val="left"/>
              <w:rPr>
                <w:sz w:val="4"/>
                <w:szCs w:val="4"/>
              </w:rPr>
            </w:pPr>
            <w:r>
              <w:rPr>
                <w:sz w:val="4"/>
                <w:szCs w:val="4"/>
              </w:rPr>
            </w:r>
          </w:p>
        </w:tc>
        <w:tc>
          <w:tcPr>
            <w:tcW w:w="272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29" w:type="dxa"/>
            <w:tcBorders/>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as reported</w:t>
            </w:r>
          </w:p>
        </w:tc>
        <w:tc>
          <w:tcPr>
            <w:tcW w:w="31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67,703 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52,493 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134,005 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124,250 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 pre-tax cost of:</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Stock option expense</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9,052 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9,216 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18,302 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18,307 </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Amortization of reacquired franchise agreements</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2,352 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2,352 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4,704 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4,704 </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Long-term incentive compensation</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2,248 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853 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3,753 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3,510 </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Legal settlements</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548 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Acquisition expense</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68 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234 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Add/(deduct) tax impacts:</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Tax impact of the above pre-tax adjustments (1)</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(2,377)</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(2,143)</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(4,626)</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(4,462)</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Excess tax expense/(benefit) on stock compensation</w:t>
            </w:r>
          </w:p>
        </w:tc>
        <w:tc>
          <w:tcPr>
            <w:tcW w:w="3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445 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501 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(513)</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net income</w:t>
            </w:r>
          </w:p>
        </w:tc>
        <w:tc>
          <w:tcPr>
            <w:tcW w:w="3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80,039 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62,721 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157,421 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145,796 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Diluted Earnings Per Share As Reported</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w:t>
            </w:r>
          </w:p>
        </w:tc>
        <w:tc>
          <w:tcPr>
            <w:tcW w:w="31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5.13 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3.57 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9.97 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8.43 </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Average number of shares outstanding</w:t>
            </w:r>
          </w:p>
        </w:tc>
        <w:tc>
          <w:tcPr>
            <w:tcW w:w="31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13,199 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14,703 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9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13,442 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14,733 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Diluted Earnings Per Share</w:t>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net income</w:t>
            </w:r>
          </w:p>
        </w:tc>
        <w:tc>
          <w:tcPr>
            <w:tcW w:w="31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6.06 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4.27 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11.71 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9.90 </w:t>
            </w:r>
          </w:p>
        </w:tc>
      </w:tr>
      <w:tr>
        <w:trPr/>
        <w:tc>
          <w:tcPr>
            <w:tcW w:w="44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Adjusted average number of shares outstanding</w:t>
            </w:r>
          </w:p>
        </w:tc>
        <w:tc>
          <w:tcPr>
            <w:tcW w:w="31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13,199 </w:t>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14,703 </w:t>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9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13,442 </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14,733 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The tax impact of pre-tax adjustments was calculated using the effective tax rate of the operating unit for which each adjustment is associated.</w:t>
            </w:r>
          </w:p>
        </w:tc>
      </w:tr>
    </w:tbl>
    <w:p>
      <w:pPr>
        <w:pStyle w:val="TextBody"/>
        <w:bidi w:val="0"/>
        <w:spacing w:lineRule="auto" w:line="259"/>
        <w:rPr>
          <w:rFonts w:ascii="Times New Roman;serif" w:hAnsi="Times New Roman;serif"/>
          <w:sz w:val="2"/>
        </w:rPr>
      </w:pPr>
      <w:r>
        <w:rPr>
          <w:rFonts w:ascii="Times New Roman;serif" w:hAnsi="Times New Roman;serif"/>
          <w:b/>
          <w:i w:val="false"/>
          <w:caps w:val="false"/>
          <w:smallCaps w:val="false"/>
          <w:sz w:val="2"/>
          <w:u w:val="single"/>
        </w:rPr>
        <w:br/>
        <w:t>‎</w:t>
      </w:r>
      <w:r>
        <w:rPr>
          <w:rFonts w:ascii="Times New Roman;serif" w:hAnsi="Times New Roman;serif"/>
          <w:caps w:val="false"/>
          <w:smallCaps w:val="false"/>
          <w:sz w:val="2"/>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tbl>
      <w:tblPr>
        <w:tblW w:w="8623" w:type="dxa"/>
        <w:jc w:val="left"/>
        <w:tblInd w:w="0" w:type="dxa"/>
        <w:tblLayout w:type="fixed"/>
        <w:tblCellMar>
          <w:top w:w="0" w:type="dxa"/>
          <w:left w:w="0" w:type="dxa"/>
          <w:bottom w:w="0" w:type="dxa"/>
          <w:right w:w="0" w:type="dxa"/>
        </w:tblCellMar>
      </w:tblPr>
      <w:tblGrid>
        <w:gridCol w:w="4186"/>
        <w:gridCol w:w="181"/>
        <w:gridCol w:w="691"/>
        <w:gridCol w:w="241"/>
        <w:gridCol w:w="181"/>
        <w:gridCol w:w="691"/>
        <w:gridCol w:w="211"/>
        <w:gridCol w:w="181"/>
        <w:gridCol w:w="691"/>
        <w:gridCol w:w="241"/>
        <w:gridCol w:w="181"/>
        <w:gridCol w:w="691"/>
        <w:gridCol w:w="256"/>
      </w:tblGrid>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623" w:type="dxa"/>
            <w:gridSpan w:val="1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CHEMED CORPORATION AND SUBSIDIARY COMPANIES</w:t>
            </w:r>
          </w:p>
        </w:tc>
      </w:tr>
      <w:tr>
        <w:trPr/>
        <w:tc>
          <w:tcPr>
            <w:tcW w:w="8623" w:type="dxa"/>
            <w:gridSpan w:val="1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STATISTICS FOR VITAS SEGMENT</w:t>
            </w:r>
          </w:p>
        </w:tc>
      </w:tr>
      <w:tr>
        <w:trPr/>
        <w:tc>
          <w:tcPr>
            <w:tcW w:w="8623" w:type="dxa"/>
            <w:gridSpan w:val="13"/>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(unaudited)</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198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Three Months Ended June 30,</w:t>
            </w:r>
          </w:p>
        </w:tc>
        <w:tc>
          <w:tcPr>
            <w:tcW w:w="211" w:type="dxa"/>
            <w:tcBorders/>
            <w:vAlign w:val="center"/>
          </w:tcPr>
          <w:p>
            <w:pPr>
              <w:pStyle w:val="TableContents"/>
              <w:bidi w:val="0"/>
              <w:spacing w:before="0" w:after="283"/>
              <w:jc w:val="left"/>
              <w:rPr>
                <w:sz w:val="4"/>
                <w:szCs w:val="4"/>
              </w:rPr>
            </w:pPr>
            <w:r>
              <w:rPr>
                <w:sz w:val="4"/>
                <w:szCs w:val="4"/>
              </w:rPr>
            </w:r>
          </w:p>
        </w:tc>
        <w:tc>
          <w:tcPr>
            <w:tcW w:w="198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Six Months Ended June 30,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STATISTICS</w:t>
            </w:r>
          </w:p>
        </w:tc>
        <w:tc>
          <w:tcPr>
            <w:tcW w:w="8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2026</w:t>
            </w:r>
          </w:p>
        </w:tc>
        <w:tc>
          <w:tcPr>
            <w:tcW w:w="2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2025</w:t>
            </w:r>
          </w:p>
        </w:tc>
        <w:tc>
          <w:tcPr>
            <w:tcW w:w="211"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2026</w:t>
            </w:r>
          </w:p>
        </w:tc>
        <w:tc>
          <w:tcPr>
            <w:tcW w:w="2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 xml:space="preserve">Net revenue ($000) </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Homecare</w:t>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391,348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358,042</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762,438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709,608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Inpatient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35,673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33,023</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71,599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67,045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Continuous care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19,396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23,640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37,530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48,276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6,206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5,747</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11,783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11,092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Subtotal</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452,623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420,452</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883,350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836,021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Room and board, net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(3,938)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(3,892)</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(7,196)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(7,417)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Contractual allowances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(4,844)</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(3,984)</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(9,921)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(6,304)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Medicare cap allowance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(16,375)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(2,875)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(18,700)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443,341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396,201</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863,358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803,600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revenue as a percent of total before Medicare cap allowances</w:t>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Homecare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86.5</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85.2</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84.9</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Inpatient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Continuous care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Subtotal</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Room and board, net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(0.9)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(0.9)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Contractual allowances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Medicare cap allowance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(0.1)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(0.3)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97.9</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94.3</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97.7</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96.1</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Days of care</w:t>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Homecare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1,792,360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1,662,455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3,483,979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3,295,024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Nursing home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303,053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307,158</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597,871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614,266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Respite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12,307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11,440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23,182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21,435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Subtotal routine homecare and respite</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2,107,720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1,981,053</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4,105,032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3,930,725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Inpatient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29,703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28,213</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60,177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57,917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Continuous care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18,094</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21,647</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35,382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44,267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2,155,517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2,030,913</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4,200,591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4,032,909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Number of days in relevant time period</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Average daily census (days)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Homecare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19,697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18,269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19,249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18,205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Nursing home</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3,330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3,375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3,303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3,394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Respite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126</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Subtotal routine homecare and respite</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23,162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21,770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22,680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21,717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Inpatient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333</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Continuous care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23,687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22,318</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23,208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22,281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Admissions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19,125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17,545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38,519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35,684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Discharges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18,167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17,845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36,704</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35,583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Average length of stay (days)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101.2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137.1</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101.9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127.9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Median length of stay (days)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20.0</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ADC by major diagnosis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Cerebro</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44.2</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44.4</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44.6</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Neurological</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Cancer</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9.7</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Cardio</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16.2</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Respiratory</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10.1</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10.6</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by major diagnosis</w:t>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Cerebro</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27.3</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26.7</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27.6</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Neurological</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7.0</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Cancer</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Cardio</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15.5</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Respiratory</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11.8</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12.1</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14.2</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100.0</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100.0</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Estimated uncollectible accounts as a percent of revenues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0.7</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0.8</w:t>
            </w:r>
          </w:p>
        </w:tc>
        <w:tc>
          <w:tcPr>
            <w:tcW w:w="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 xml:space="preserve">Accounts receivable -- </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Days of revenue outstanding- excluding unapplied Medicare payments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39.7</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37.5</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n.a.</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n.a.</w:t>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Days of revenue outstanding- including unapplied Medicare payments</w:t>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26.9</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n.a.</w:t>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n.a.</w:t>
            </w:r>
          </w:p>
        </w:tc>
        <w:tc>
          <w:tcPr>
            <w:tcW w:w="2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Safe Harbor Statement under the Private Securities Litigation Reform Act of 1995 Regarding Forward-Looking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statements contained in this report are “forward-looking statements” within the meaning of the Private Securities Litigation Reform Act of 1995. The words “believe”, “expect”, “hope”, “anticipate”, “plan” and similar expressions identify forward-looking statements, which speak only as of the date the statement was made. These forward-looking statements are based on current expectations and assumptions and involve various known and unknown risks, uncertainties, contingencies and other factors, which could cause Chemed’s actual results to differ from those expressed in such forward-looking statements. Variances in any or all of the risks, uncertainties, contingencies, and other factors from our assumptions could cause actual results to differ materially from these forward-looking statements and trends. In addition, our ability to deal with the unknown outcomes of these events, many of which are beyond our control, may affect the reliability of projections and other financial matters. Investors are cautioned that such forward-looking statements are subject to inherent risk and there are no assurances that the matters contained in such statements will be achieved. Chemed does not undertake and specifically disclaims any obligation to publicly update or revise any forward-looking statements, whether as a result of new information, future events or otherwise.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3.    Quantitative and Qualitative Disclosures about Market Risk</w:t>
      </w:r>
      <w:bookmarkStart w:id="8" w:name="Item3MarketRisk"/>
      <w:bookmarkEnd w:id="8"/>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primary market risk exposure relates to interest rate risk exposure through its variable interest line of credit. At June 30, 2026, the Company has $140.0 million of variable rate debt outstanding. For each $10 million borrowed under the credit facility, an increase or decrease of 100 basis points (1%), increases or decreases the Company’s annual interest expense by $100,000.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continually evaluates this interest rate exposure and periodically weighs the cost versus the benefit of fixing the variable interest rates through a variety of hedging techniques.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4.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Controls and Procedures</w:t>
      </w:r>
      <w:bookmarkStart w:id="9" w:name="Item4ControlsandProcedures"/>
      <w:bookmarkEnd w:id="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carried out an evaluation, under the supervision of the Company’s President and Chief Executive Officer and with the participation of the Executive Vice President, Chief Financial Officer and Controller, of the effectiveness of the design and operation of our disclosure controls and procedures as of the end of the period covered by this report. Based on that evaluation, the President and Chief Executive Officer and Executive Vice President, Chief Financial Officer and Controller have concluded that our disclosure controls and procedures were effective as of the end of the period covered by this report. There has been no change in our internal control over financial reporting that occurred during the quarter covered by this report that has materially affected, or is reasonably likely to materially affect, our internal control over financial reporting.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10" w:name="PartIIOtherInformation"/>
      <w:bookmarkEnd w:id="10"/>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Legal Proceedings</w:t>
      </w:r>
      <w:bookmarkStart w:id="11" w:name="Item1LegalProceedings"/>
      <w:bookmarkEnd w:id="11"/>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information regarding the Company’s legal proceedings, see Note 10, Legal and Regulatory Matters, under Part I, Item I of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1A.    Risk Factors</w:t>
      </w:r>
      <w:bookmarkStart w:id="12" w:name="Item1ARiskFactors"/>
      <w:bookmarkEnd w:id="1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from the risk factors previously disclosed in the Company’s most recent Annual Report on Form 10-K and Quarterly Report on Form 10-Q.</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2.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Unregistered Sales of Equity Securities and Use of Proceeds</w:t>
      </w:r>
      <w:bookmarkStart w:id="13" w:name="Item2UnregisteredSales"/>
      <w:bookmarkEnd w:id="13"/>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2(c).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Purchases of Equity Securities by Issuer and Affiliated Purchasers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shows the activity related to our share repurchase program for the first six months of 2026:</w:t>
      </w:r>
    </w:p>
    <w:tbl>
      <w:tblPr>
        <w:tblW w:w="9551" w:type="dxa"/>
        <w:jc w:val="left"/>
        <w:tblInd w:w="0" w:type="dxa"/>
        <w:tblLayout w:type="fixed"/>
        <w:tblCellMar>
          <w:top w:w="0" w:type="dxa"/>
          <w:left w:w="0" w:type="dxa"/>
          <w:bottom w:w="0" w:type="dxa"/>
          <w:right w:w="0" w:type="dxa"/>
        </w:tblCellMar>
      </w:tblPr>
      <w:tblGrid>
        <w:gridCol w:w="3185"/>
        <w:gridCol w:w="1225"/>
        <w:gridCol w:w="111"/>
        <w:gridCol w:w="359"/>
        <w:gridCol w:w="1188"/>
        <w:gridCol w:w="111"/>
        <w:gridCol w:w="1700"/>
        <w:gridCol w:w="111"/>
        <w:gridCol w:w="235"/>
        <w:gridCol w:w="1326"/>
      </w:tblGrid>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 Number</w:t>
            </w:r>
          </w:p>
        </w:tc>
        <w:tc>
          <w:tcPr>
            <w:tcW w:w="111" w:type="dxa"/>
            <w:tcBorders/>
            <w:vAlign w:val="center"/>
          </w:tcPr>
          <w:p>
            <w:pPr>
              <w:pStyle w:val="TableContents"/>
              <w:bidi w:val="0"/>
              <w:spacing w:before="0" w:after="283"/>
              <w:jc w:val="left"/>
              <w:rPr>
                <w:sz w:val="4"/>
                <w:szCs w:val="4"/>
              </w:rPr>
            </w:pPr>
            <w:r>
              <w:rPr>
                <w:sz w:val="4"/>
                <w:szCs w:val="4"/>
              </w:rPr>
            </w:r>
          </w:p>
        </w:tc>
        <w:tc>
          <w:tcPr>
            <w:tcW w:w="15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Weighted Average</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Cumulative Shares</w:t>
            </w:r>
          </w:p>
        </w:tc>
        <w:tc>
          <w:tcPr>
            <w:tcW w:w="111" w:type="dxa"/>
            <w:tcBorders/>
            <w:vAlign w:val="center"/>
          </w:tcPr>
          <w:p>
            <w:pPr>
              <w:pStyle w:val="TableContents"/>
              <w:bidi w:val="0"/>
              <w:spacing w:before="0" w:after="283"/>
              <w:jc w:val="left"/>
              <w:rPr>
                <w:sz w:val="4"/>
                <w:szCs w:val="4"/>
              </w:rPr>
            </w:pPr>
            <w:r>
              <w:rPr>
                <w:sz w:val="4"/>
                <w:szCs w:val="4"/>
              </w:rPr>
            </w:r>
          </w:p>
        </w:tc>
        <w:tc>
          <w:tcPr>
            <w:tcW w:w="156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Dollar Amount</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of Shares</w:t>
            </w:r>
          </w:p>
        </w:tc>
        <w:tc>
          <w:tcPr>
            <w:tcW w:w="111" w:type="dxa"/>
            <w:tcBorders/>
            <w:vAlign w:val="center"/>
          </w:tcPr>
          <w:p>
            <w:pPr>
              <w:pStyle w:val="TableContents"/>
              <w:bidi w:val="0"/>
              <w:spacing w:before="0" w:after="283"/>
              <w:jc w:val="left"/>
              <w:rPr>
                <w:sz w:val="4"/>
                <w:szCs w:val="4"/>
              </w:rPr>
            </w:pPr>
            <w:r>
              <w:rPr>
                <w:sz w:val="4"/>
                <w:szCs w:val="4"/>
              </w:rPr>
            </w:r>
          </w:p>
        </w:tc>
        <w:tc>
          <w:tcPr>
            <w:tcW w:w="15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Price Paid Per</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Repurchased Under</w:t>
            </w:r>
          </w:p>
        </w:tc>
        <w:tc>
          <w:tcPr>
            <w:tcW w:w="111" w:type="dxa"/>
            <w:tcBorders/>
            <w:vAlign w:val="center"/>
          </w:tcPr>
          <w:p>
            <w:pPr>
              <w:pStyle w:val="TableContents"/>
              <w:bidi w:val="0"/>
              <w:spacing w:before="0" w:after="283"/>
              <w:jc w:val="left"/>
              <w:rPr>
                <w:sz w:val="4"/>
                <w:szCs w:val="4"/>
              </w:rPr>
            </w:pPr>
            <w:r>
              <w:rPr>
                <w:sz w:val="4"/>
                <w:szCs w:val="4"/>
              </w:rPr>
            </w:r>
          </w:p>
        </w:tc>
        <w:tc>
          <w:tcPr>
            <w:tcW w:w="156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Remaining Under</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Repurchased</w:t>
            </w:r>
          </w:p>
        </w:tc>
        <w:tc>
          <w:tcPr>
            <w:tcW w:w="111" w:type="dxa"/>
            <w:tcBorders/>
            <w:vAlign w:val="center"/>
          </w:tcPr>
          <w:p>
            <w:pPr>
              <w:pStyle w:val="TableContents"/>
              <w:bidi w:val="0"/>
              <w:spacing w:before="0" w:after="283"/>
              <w:jc w:val="left"/>
              <w:rPr>
                <w:sz w:val="4"/>
                <w:szCs w:val="4"/>
              </w:rPr>
            </w:pPr>
            <w:r>
              <w:rPr>
                <w:sz w:val="4"/>
                <w:szCs w:val="4"/>
              </w:rPr>
            </w:r>
          </w:p>
        </w:tc>
        <w:tc>
          <w:tcPr>
            <w:tcW w:w="15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Share</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the Program</w:t>
            </w:r>
          </w:p>
        </w:tc>
        <w:tc>
          <w:tcPr>
            <w:tcW w:w="111" w:type="dxa"/>
            <w:tcBorders/>
            <w:vAlign w:val="center"/>
          </w:tcPr>
          <w:p>
            <w:pPr>
              <w:pStyle w:val="TableContents"/>
              <w:bidi w:val="0"/>
              <w:spacing w:before="0" w:after="283"/>
              <w:jc w:val="left"/>
              <w:rPr>
                <w:sz w:val="4"/>
                <w:szCs w:val="4"/>
              </w:rPr>
            </w:pPr>
            <w:r>
              <w:rPr>
                <w:sz w:val="4"/>
                <w:szCs w:val="4"/>
              </w:rPr>
            </w:r>
          </w:p>
        </w:tc>
        <w:tc>
          <w:tcPr>
            <w:tcW w:w="15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The Program</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lineRule="auto" w:line="259"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February 2011 Program </w:t>
            </w:r>
          </w:p>
        </w:tc>
        <w:tc>
          <w:tcPr>
            <w:tcW w:w="1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January 1 through January 31, 2026</w:t>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12,161,858 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127,282,674 </w:t>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February 1 through February 28, 2026 (1)</w:t>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12,161,858 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427,282,674 </w:t>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March 1 through March 31, 2026</w:t>
            </w:r>
          </w:p>
        </w:tc>
        <w:tc>
          <w:tcPr>
            <w:tcW w:w="12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500,000 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395.36 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12,661,858 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2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229,601,903 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First Quarter Total</w:t>
            </w:r>
          </w:p>
        </w:tc>
        <w:tc>
          <w:tcPr>
            <w:tcW w:w="1225"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500,000 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88"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395.36 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April 1 through April 30, 2026</w:t>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40,300 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422.59 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12,702,158 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212,571,327 </w:t>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May 1 through May 31, 2026</w:t>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109,700 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424.12 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12,811,858 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166,045,452 </w:t>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1 through June 30, 2026</w:t>
            </w:r>
          </w:p>
        </w:tc>
        <w:tc>
          <w:tcPr>
            <w:tcW w:w="12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60,000 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438.07 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12,871,858 </w:t>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2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139,761,356 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Second Quarter Total</w:t>
            </w:r>
          </w:p>
        </w:tc>
        <w:tc>
          <w:tcPr>
            <w:tcW w:w="1225"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210,000 </w:t>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88"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427.81 </w:t>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9551" w:type="dxa"/>
            <w:gridSpan w:val="10"/>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 In February 2026, our Board of Directors authorized an additional $300.0 million under the February 2011 Repurchase Program.</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3.    Defaults Upon Senior Securities</w:t>
      </w:r>
      <w:bookmarkStart w:id="14" w:name="Item3DefaultsUponSeniorSecurities"/>
      <w:bookmarkEnd w:id="14"/>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4.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Mine Safety Disclosures</w:t>
      </w:r>
      <w:bookmarkStart w:id="15" w:name="Item4MineSafetyDisclosures"/>
      <w:bookmarkEnd w:id="15"/>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5.    Other Information</w:t>
      </w:r>
      <w:bookmarkStart w:id="16" w:name="Item5OtherInformation"/>
      <w:bookmarkEnd w:id="16"/>
    </w:p>
    <w:p>
      <w:pPr>
        <w:pStyle w:val="TextBody"/>
        <w:bidi w:val="0"/>
        <w:spacing w:lineRule="auto" w:line="259"/>
        <w:ind w:left="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6. </w:t>
      </w:r>
      <w:r>
        <w:rPr>
          <w:rFonts w:ascii="Times New Roman;serif" w:hAnsi="Times New Roman;serif"/>
          <w:caps w:val="false"/>
          <w:smallCaps w:val="false"/>
          <w:sz w:val="20"/>
        </w:rPr>
        <w:t>   </w:t>
      </w:r>
      <w:r>
        <w:rPr>
          <w:rFonts w:ascii="Times New Roman;serif" w:hAnsi="Times New Roman;serif"/>
          <w:b/>
          <w:i w:val="false"/>
          <w:caps w:val="false"/>
          <w:smallCaps w:val="false"/>
          <w:sz w:val="20"/>
        </w:rPr>
        <w:t>Exhibits</w:t>
      </w:r>
      <w:bookmarkStart w:id="17" w:name="Item6Exhibits"/>
      <w:bookmarkEnd w:id="17"/>
    </w:p>
    <w:tbl>
      <w:tblPr>
        <w:tblW w:w="10205" w:type="dxa"/>
        <w:jc w:val="left"/>
        <w:tblInd w:w="0" w:type="dxa"/>
        <w:tblLayout w:type="fixed"/>
        <w:tblCellMar>
          <w:top w:w="0" w:type="dxa"/>
          <w:left w:w="0" w:type="dxa"/>
          <w:bottom w:w="0" w:type="dxa"/>
          <w:right w:w="0" w:type="dxa"/>
        </w:tblCellMar>
      </w:tblPr>
      <w:tblGrid>
        <w:gridCol w:w="807"/>
        <w:gridCol w:w="109"/>
        <w:gridCol w:w="9289"/>
      </w:tblGrid>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Description</w:t>
            </w:r>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10.1</w:t>
              </w:r>
            </w:hyperlink>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Sixth Amended and Restated Credit Agreement</w:t>
              </w:r>
            </w:hyperlink>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pPr>
            <w:hyperlink w:anchor="che-20260630xex31_1.htm">
              <w:r>
                <w:rPr>
                  <w:rStyle w:val="InternetLink"/>
                  <w:rFonts w:ascii="Times New Roman;serif" w:hAnsi="Times New Roman;serif"/>
                  <w:b w:val="false"/>
                  <w:i w:val="false"/>
                  <w:caps w:val="false"/>
                  <w:smallCaps w:val="false"/>
                  <w:color w:val="0000FF"/>
                  <w:sz w:val="20"/>
                  <w:u w:val="single"/>
                </w:rPr>
                <w:t>31.1</w:t>
              </w:r>
            </w:hyperlink>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rPr/>
            </w:pPr>
            <w:hyperlink w:anchor="che-20260630xex31_1.htm">
              <w:r>
                <w:rPr>
                  <w:rStyle w:val="InternetLink"/>
                  <w:rFonts w:ascii="Times New Roman;serif" w:hAnsi="Times New Roman;serif"/>
                  <w:b w:val="false"/>
                  <w:i w:val="false"/>
                  <w:caps w:val="false"/>
                  <w:smallCaps w:val="false"/>
                  <w:color w:val="0000FF"/>
                  <w:sz w:val="20"/>
                  <w:u w:val="single"/>
                </w:rPr>
                <w:t>Certification by Kevin J. McNamara pursuant to Rule 13a-14(a)/15d-14(a) of the Exchange Act of 1934.</w:t>
              </w:r>
            </w:hyperlink>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pPr>
            <w:hyperlink w:anchor="che-20260630xex31_2.htm">
              <w:r>
                <w:rPr>
                  <w:rStyle w:val="InternetLink"/>
                  <w:rFonts w:ascii="Times New Roman;serif" w:hAnsi="Times New Roman;serif"/>
                  <w:b w:val="false"/>
                  <w:i w:val="false"/>
                  <w:caps w:val="false"/>
                  <w:smallCaps w:val="false"/>
                  <w:color w:val="0000FF"/>
                  <w:sz w:val="20"/>
                  <w:u w:val="single"/>
                </w:rPr>
                <w:t>31.2</w:t>
              </w:r>
            </w:hyperlink>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pPr>
            <w:hyperlink w:anchor="che-20260630xex31_2.htm">
              <w:r>
                <w:rPr>
                  <w:rStyle w:val="InternetLink"/>
                  <w:rFonts w:ascii="Times New Roman;serif" w:hAnsi="Times New Roman;serif"/>
                  <w:b w:val="false"/>
                  <w:i w:val="false"/>
                  <w:caps w:val="false"/>
                  <w:smallCaps w:val="false"/>
                  <w:color w:val="0000FF"/>
                  <w:sz w:val="20"/>
                  <w:u w:val="single"/>
                </w:rPr>
                <w:t>Certification by Michael D. Witzeman pursuant to Rule 13a-14(a)/15d-14(a) of the Exchange Act of 1934.</w:t>
              </w:r>
            </w:hyperlink>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pPr>
            <w:hyperlink w:anchor="che-20260630xex32_1.htm">
              <w:r>
                <w:rPr>
                  <w:rStyle w:val="InternetLink"/>
                  <w:rFonts w:ascii="Times New Roman;serif" w:hAnsi="Times New Roman;serif"/>
                  <w:b w:val="false"/>
                  <w:i w:val="false"/>
                  <w:caps w:val="false"/>
                  <w:smallCaps w:val="false"/>
                  <w:color w:val="0000FF"/>
                  <w:sz w:val="20"/>
                  <w:u w:val="single"/>
                </w:rPr>
                <w:t>32.1</w:t>
              </w:r>
            </w:hyperlink>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pPr>
            <w:hyperlink w:anchor="che-20260630xex32_1.htm">
              <w:r>
                <w:rPr>
                  <w:rStyle w:val="InternetLink"/>
                  <w:rFonts w:ascii="Times New Roman;serif" w:hAnsi="Times New Roman;serif"/>
                  <w:b w:val="false"/>
                  <w:i w:val="false"/>
                  <w:caps w:val="false"/>
                  <w:smallCaps w:val="false"/>
                  <w:color w:val="0000FF"/>
                  <w:sz w:val="20"/>
                  <w:u w:val="single"/>
                </w:rPr>
                <w:t>Certification by Kevin J. McNamara pursuant to Section 906 of the Sarbanes-Oxley Act of 2002.</w:t>
              </w:r>
            </w:hyperlink>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pPr>
            <w:hyperlink w:anchor="che-20260630xex32_2.htm">
              <w:r>
                <w:rPr>
                  <w:rStyle w:val="InternetLink"/>
                  <w:rFonts w:ascii="Times New Roman;serif" w:hAnsi="Times New Roman;serif"/>
                  <w:b w:val="false"/>
                  <w:i w:val="false"/>
                  <w:caps w:val="false"/>
                  <w:smallCaps w:val="false"/>
                  <w:color w:val="0000FF"/>
                  <w:sz w:val="20"/>
                  <w:u w:val="single"/>
                </w:rPr>
                <w:t>32.2</w:t>
              </w:r>
            </w:hyperlink>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pPr>
            <w:hyperlink w:anchor="che-20260630xex32_2.htm">
              <w:r>
                <w:rPr>
                  <w:rStyle w:val="InternetLink"/>
                  <w:rFonts w:ascii="Times New Roman;serif" w:hAnsi="Times New Roman;serif"/>
                  <w:b w:val="false"/>
                  <w:i w:val="false"/>
                  <w:caps w:val="false"/>
                  <w:smallCaps w:val="false"/>
                  <w:color w:val="0000FF"/>
                  <w:sz w:val="20"/>
                  <w:u w:val="single"/>
                </w:rPr>
                <w:t xml:space="preserve">Certification by Michael D. Witzeman pursuant to Section 906 of the Sarbanes-Oxley Act of 2002 </w:t>
              </w:r>
            </w:hyperlink>
          </w:p>
        </w:tc>
      </w:tr>
      <w:tr>
        <w:trPr/>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101 </w:t>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materials from Chemed Corporation’s Quarterly Report on Form 10-Q for the quarter ended June 30, 2026 formatted in iXBRL (Inline eXtensible Business Reporting Language): (i) The Condensed Consolidated Balance Sheet, (ii) The Condensed Consolidated Statement of Income, (iii) The Condensed Consolidated Statement of Cash Flows, (iv) The Condensed Statement of Equity, and (v) Notes to the Condensed Consolidated Financial Statements.</w:t>
            </w:r>
          </w:p>
        </w:tc>
      </w:tr>
      <w:tr>
        <w:trPr/>
        <w:tc>
          <w:tcPr>
            <w:tcW w:w="8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cover page from the Company’s Quarterly Report on Form 10-Q for the quarter ended June 30, 2026, formatted in iXBRL and contained in Exhibit 101.</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SIGNA</w:t>
      </w:r>
      <w:bookmarkStart w:id="18" w:name="signature"/>
      <w:bookmarkEnd w:id="18"/>
      <w:r>
        <w:rPr>
          <w:rFonts w:ascii="Times New Roman;serif" w:hAnsi="Times New Roman;serif"/>
          <w:b/>
          <w:i w:val="false"/>
          <w:caps w:val="false"/>
          <w:smallCaps w:val="false"/>
          <w:sz w:val="20"/>
        </w:rPr>
        <w:t>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tbl>
      <w:tblPr>
        <w:tblW w:w="8101" w:type="dxa"/>
        <w:jc w:val="left"/>
        <w:tblInd w:w="0" w:type="dxa"/>
        <w:tblLayout w:type="fixed"/>
        <w:tblCellMar>
          <w:top w:w="0" w:type="dxa"/>
          <w:left w:w="0" w:type="dxa"/>
          <w:bottom w:w="0" w:type="dxa"/>
          <w:right w:w="0" w:type="dxa"/>
        </w:tblCellMar>
      </w:tblPr>
      <w:tblGrid>
        <w:gridCol w:w="661"/>
        <w:gridCol w:w="109"/>
        <w:gridCol w:w="1216"/>
        <w:gridCol w:w="109"/>
        <w:gridCol w:w="406"/>
        <w:gridCol w:w="109"/>
        <w:gridCol w:w="5491"/>
      </w:tblGrid>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Chemed Corporation</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/s/ Kevin J. McNamara</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Kevin J. McNamara</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/s/ Michael D. Witzeman</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D. Witzeman</w:t>
            </w:r>
          </w:p>
        </w:tc>
      </w:tr>
      <w:tr>
        <w:trPr/>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Controller)</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TextBody"/>
        <w:bidi w:val="0"/>
        <w:spacing w:before="0" w:after="0"/>
        <w:ind w:left="1440" w:right="1080" w:hanging="0"/>
        <w:jc w:val="right"/>
        <w:rPr>
          <w:rFonts w:ascii="Times New Roman" w:hAnsi="Times New Roman"/>
          <w:sz w:val="20"/>
        </w:rPr>
      </w:pPr>
      <w:bookmarkStart w:id="19" w:name="che-20260630xex31_1.htm"/>
      <w:bookmarkStart w:id="20" w:name="ksche20260630xex31_1"/>
      <w:bookmarkEnd w:id="19"/>
      <w:bookmarkEnd w:id="20"/>
      <w:r>
        <w:rPr>
          <w:rFonts w:ascii="Times New Roman" w:hAnsi="Times New Roman"/>
          <w:b/>
          <w:sz w:val="20"/>
        </w:rPr>
        <w:t>EXHIBIT 31.1</w:t>
      </w:r>
      <w:r>
        <w:rPr>
          <w:rFonts w:ascii="Times New Roman" w:hAnsi="Times New Roman"/>
          <w:sz w:val="20"/>
        </w:rPr>
        <w:t xml:space="preserve"> </w:t>
      </w:r>
      <w:r>
        <w:br w:type="page"/>
      </w:r>
    </w:p>
    <w:p>
      <w:pPr>
        <w:pStyle w:val="TextBody"/>
        <w:bidi w:val="0"/>
        <w:spacing w:before="0" w:after="0"/>
        <w:ind w:left="1440" w:right="1080" w:hanging="0"/>
        <w:jc w:val="right"/>
        <w:rPr/>
      </w:pPr>
      <w:r>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CERTIFICATION PURSUANT TO RULES 13a-14(a)/15d-14(a) OF THE EXCHANGE ACT OF 1934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I, Kevin J. McNamara, certify that: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1.  I have reviewed this quarterly report on Form 10-Q of Chemed Corporation (“registrant”);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2880" w:right="1080" w:hanging="144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1440" w:right="1080" w:hanging="0"/>
        <w:jc w:val="left"/>
        <w:rPr>
          <w:rFonts w:cs="Times New Roman"/>
          <w:szCs w:val="20"/>
        </w:rPr>
      </w:pPr>
      <w:r>
        <w:rPr>
          <w:rFonts w:cs="Times New Roman"/>
          <w:szCs w:val="20"/>
        </w:rPr>
        <w:t xml:space="preserve">﻿ </w:t>
      </w:r>
    </w:p>
    <w:tbl>
      <w:tblPr>
        <w:tblW w:w="7685" w:type="dxa"/>
        <w:jc w:val="left"/>
        <w:tblInd w:w="1440" w:type="dxa"/>
        <w:tblLayout w:type="fixed"/>
        <w:tblCellMar>
          <w:top w:w="0" w:type="dxa"/>
          <w:left w:w="0" w:type="dxa"/>
          <w:bottom w:w="0" w:type="dxa"/>
          <w:right w:w="0" w:type="dxa"/>
        </w:tblCellMar>
      </w:tblPr>
      <w:tblGrid>
        <w:gridCol w:w="38"/>
        <w:gridCol w:w="152"/>
        <w:gridCol w:w="23"/>
        <w:gridCol w:w="747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472" w:type="dxa"/>
            <w:tcBorders/>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spacing w:before="0" w:after="0"/>
        <w:ind w:left="2160" w:right="108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2880" w:right="1080" w:hanging="1440"/>
        <w:jc w:val="left"/>
        <w:rPr/>
      </w:pPr>
      <w:r>
        <w:rPr>
          <w:color w:val="000000"/>
        </w:rPr>
        <w:t>                             </w:t>
      </w: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0" w:after="0"/>
        <w:ind w:left="1440" w:right="108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2880" w:right="1080" w:hanging="1440"/>
        <w:jc w:val="left"/>
        <w:rPr/>
      </w:pPr>
      <w:r>
        <w:rPr>
          <w:color w:val="000000"/>
        </w:rPr>
        <w:t>                             </w:t>
      </w: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bidi w:val="0"/>
        <w:spacing w:before="0" w:after="0"/>
        <w:ind w:left="1440" w:right="1080" w:hanging="0"/>
        <w:jc w:val="left"/>
        <w:rPr>
          <w:rFonts w:cs="Times New Roman"/>
          <w:szCs w:val="20"/>
        </w:rPr>
      </w:pPr>
      <w:r>
        <w:rPr>
          <w:rFonts w:cs="Times New Roman"/>
          <w:color w:val="000000"/>
          <w:szCs w:val="20"/>
        </w:rPr>
        <w:t>﻿</w:t>
      </w:r>
      <w:r>
        <w:rPr>
          <w:rFonts w:cs="Times New Roman"/>
          <w:szCs w:val="20"/>
        </w:rPr>
        <w:t xml:space="preserve"> </w:t>
      </w:r>
    </w:p>
    <w:tbl>
      <w:tblPr>
        <w:tblW w:w="5035" w:type="dxa"/>
        <w:jc w:val="left"/>
        <w:tblInd w:w="1440" w:type="dxa"/>
        <w:tblLayout w:type="fixed"/>
        <w:tblCellMar>
          <w:top w:w="0" w:type="dxa"/>
          <w:left w:w="0" w:type="dxa"/>
          <w:bottom w:w="0" w:type="dxa"/>
          <w:right w:w="0" w:type="dxa"/>
        </w:tblCellMar>
      </w:tblPr>
      <w:tblGrid>
        <w:gridCol w:w="1760"/>
        <w:gridCol w:w="60"/>
        <w:gridCol w:w="3215"/>
      </w:tblGrid>
      <w:tr>
        <w:trPr/>
        <w:tc>
          <w:tcPr>
            <w:tcW w:w="1760" w:type="dxa"/>
            <w:tcBorders/>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r>
        <w:trPr/>
        <w:tc>
          <w:tcPr>
            <w:tcW w:w="1760"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r>
        <w:trPr/>
        <w:tc>
          <w:tcPr>
            <w:tcW w:w="1760"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color w:val="000000"/>
                <w:sz w:val="20"/>
              </w:rPr>
              <w:t>Date:   </w:t>
            </w:r>
            <w:r>
              <w:rPr>
                <w:rFonts w:ascii="Times New Roman" w:hAnsi="Times New Roman"/>
                <w:sz w:val="20"/>
              </w:rPr>
              <w:t> </w:t>
            </w:r>
            <w:r>
              <w:rPr>
                <w:rFonts w:ascii="Times New Roman" w:hAnsi="Times New Roman"/>
                <w:color w:val="000000"/>
                <w:sz w:val="20"/>
              </w:rPr>
              <w:t>July 31, 2026</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Kevin J. McNamara</w:t>
            </w:r>
          </w:p>
        </w:tc>
      </w:tr>
      <w:tr>
        <w:trPr/>
        <w:tc>
          <w:tcPr>
            <w:tcW w:w="1760"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Kevin J. McNamara</w:t>
            </w:r>
          </w:p>
        </w:tc>
      </w:tr>
      <w:tr>
        <w:trPr/>
        <w:tc>
          <w:tcPr>
            <w:tcW w:w="1760"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60"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bl>
    <w:p>
      <w:pPr>
        <w:pStyle w:val="TextBody"/>
        <w:bidi w:val="0"/>
        <w:spacing w:before="0" w:after="0"/>
        <w:ind w:left="1440" w:right="108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08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E-6 </w:t>
      </w:r>
    </w:p>
    <w:p>
      <w:pPr>
        <w:pStyle w:val="HorizontalLine"/>
        <w:pBdr>
          <w:bottom w:val="double" w:sz="6" w:space="0" w:color="808080"/>
        </w:pBdr>
        <w:bidi w:val="0"/>
        <w:ind w:left="1440" w:right="1080" w:hanging="0"/>
        <w:jc w:val="left"/>
        <w:rPr/>
      </w:pPr>
      <w:r>
        <w:rPr/>
      </w:r>
    </w:p>
    <w:p>
      <w:pPr>
        <w:pStyle w:val="TextBody"/>
        <w:bidi w:val="0"/>
        <w:spacing w:before="0" w:after="0"/>
        <w:ind w:left="1440" w:right="1080" w:hanging="0"/>
        <w:jc w:val="right"/>
        <w:rPr>
          <w:rFonts w:ascii="Times New Roman" w:hAnsi="Times New Roman"/>
          <w:b/>
          <w:sz w:val="20"/>
        </w:rPr>
      </w:pPr>
      <w:bookmarkStart w:id="21" w:name="che-20260630xex31_2.htm"/>
      <w:bookmarkStart w:id="22" w:name="ksche20260630xex31_2"/>
      <w:bookmarkEnd w:id="21"/>
      <w:bookmarkEnd w:id="22"/>
      <w:r>
        <w:rPr>
          <w:rFonts w:ascii="Times New Roman" w:hAnsi="Times New Roman"/>
          <w:b/>
          <w:sz w:val="20"/>
        </w:rPr>
        <w:t xml:space="preserve">EXHIBIT 31.2 </w:t>
      </w:r>
      <w:r>
        <w:br w:type="page"/>
      </w:r>
    </w:p>
    <w:p>
      <w:pPr>
        <w:pStyle w:val="TextBody"/>
        <w:bidi w:val="0"/>
        <w:spacing w:before="0" w:after="0"/>
        <w:ind w:left="1440" w:right="1080" w:hanging="0"/>
        <w:jc w:val="right"/>
        <w:rPr/>
      </w:pPr>
      <w:r>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CERTIFICATION PURSUANT TO RULES 13a-14(a)/15d-14(a) OF THE EXCHANGE ACT OF 1934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I, Michael D. Witzeman, certify that: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1.  I have reviewed this quarterly report on Form 10-Q of Chemed Corporation (“registrant”);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160" w:right="1080" w:hanging="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2880" w:right="1080" w:hanging="1440"/>
        <w:jc w:val="left"/>
        <w:rPr>
          <w:rFonts w:cs="Times New Roman"/>
          <w:szCs w:val="20"/>
        </w:rPr>
      </w:pPr>
      <w:r>
        <w:rPr>
          <w:rFonts w:cs="Times New Roman"/>
          <w:szCs w:val="20"/>
        </w:rPr>
        <w:t xml:space="preserve">﻿ </w:t>
      </w:r>
    </w:p>
    <w:tbl>
      <w:tblPr>
        <w:tblW w:w="7240" w:type="dxa"/>
        <w:jc w:val="left"/>
        <w:tblInd w:w="1440" w:type="dxa"/>
        <w:tblLayout w:type="fixed"/>
        <w:tblCellMar>
          <w:top w:w="0" w:type="dxa"/>
          <w:left w:w="0" w:type="dxa"/>
          <w:bottom w:w="0" w:type="dxa"/>
          <w:right w:w="0" w:type="dxa"/>
        </w:tblCellMar>
      </w:tblPr>
      <w:tblGrid>
        <w:gridCol w:w="1760"/>
        <w:gridCol w:w="60"/>
        <w:gridCol w:w="5420"/>
      </w:tblGrid>
      <w:tr>
        <w:trPr/>
        <w:tc>
          <w:tcPr>
            <w:tcW w:w="176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bidi w:val="0"/>
              <w:spacing w:before="0" w:after="0"/>
              <w:ind w:left="0" w:right="0" w:hanging="0"/>
              <w:jc w:val="left"/>
              <w:rPr/>
            </w:pPr>
            <w:r>
              <w:rPr/>
              <w:t> </w:t>
            </w:r>
          </w:p>
        </w:tc>
      </w:tr>
      <w:tr>
        <w:trPr/>
        <w:tc>
          <w:tcPr>
            <w:tcW w:w="176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bidi w:val="0"/>
              <w:spacing w:before="0" w:after="0"/>
              <w:ind w:left="0" w:right="0" w:hanging="0"/>
              <w:jc w:val="left"/>
              <w:rPr/>
            </w:pPr>
            <w:r>
              <w:rPr/>
              <w:t> </w:t>
            </w:r>
          </w:p>
        </w:tc>
      </w:tr>
      <w:tr>
        <w:trPr/>
        <w:tc>
          <w:tcPr>
            <w:tcW w:w="176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bidi w:val="0"/>
              <w:spacing w:before="0" w:after="0"/>
              <w:ind w:left="0" w:right="0" w:hanging="0"/>
              <w:jc w:val="left"/>
              <w:rPr/>
            </w:pPr>
            <w:r>
              <w:rPr/>
              <w:t> </w:t>
            </w:r>
          </w:p>
        </w:tc>
      </w:tr>
      <w:tr>
        <w:trPr/>
        <w:tc>
          <w:tcPr>
            <w:tcW w:w="1760"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sz w:val="20"/>
              </w:rPr>
              <w:t>Date:    July 31, 2026</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sz w:val="20"/>
              </w:rPr>
              <w:t>/s/ Michael D. Witzeman</w:t>
            </w:r>
          </w:p>
        </w:tc>
      </w:tr>
      <w:tr>
        <w:trPr/>
        <w:tc>
          <w:tcPr>
            <w:tcW w:w="176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Michael D. Witzeman</w:t>
            </w:r>
          </w:p>
        </w:tc>
      </w:tr>
      <w:tr>
        <w:trPr/>
        <w:tc>
          <w:tcPr>
            <w:tcW w:w="176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42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 Controller, and Chief Financial Officer)</w:t>
            </w:r>
          </w:p>
        </w:tc>
      </w:tr>
    </w:tbl>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E-2 </w:t>
      </w:r>
    </w:p>
    <w:p>
      <w:pPr>
        <w:pStyle w:val="HorizontalLine"/>
        <w:pBdr>
          <w:bottom w:val="double" w:sz="6" w:space="0" w:color="808080"/>
        </w:pBdr>
        <w:bidi w:val="0"/>
        <w:ind w:left="1440" w:right="1080" w:hanging="0"/>
        <w:jc w:val="left"/>
        <w:rPr/>
      </w:pPr>
      <w:r>
        <w:rPr/>
      </w:r>
    </w:p>
    <w:p>
      <w:pPr>
        <w:pStyle w:val="TextBody"/>
        <w:bidi w:val="0"/>
        <w:spacing w:before="0" w:after="0"/>
        <w:ind w:left="1440" w:right="1080" w:hanging="0"/>
        <w:jc w:val="right"/>
        <w:rPr>
          <w:rFonts w:ascii="Times New Roman" w:hAnsi="Times New Roman"/>
          <w:sz w:val="20"/>
        </w:rPr>
      </w:pPr>
      <w:bookmarkStart w:id="23" w:name="che-20260630xex32_1.htm"/>
      <w:bookmarkStart w:id="24" w:name="ksche20260630xex32_1"/>
      <w:bookmarkEnd w:id="23"/>
      <w:bookmarkEnd w:id="24"/>
      <w:r>
        <w:rPr>
          <w:rFonts w:ascii="Times New Roman" w:hAnsi="Times New Roman"/>
          <w:b/>
          <w:sz w:val="20"/>
        </w:rPr>
        <w:t>EXHIBIT 32.1</w:t>
      </w:r>
      <w:r>
        <w:rPr>
          <w:rFonts w:ascii="Times New Roman" w:hAnsi="Times New Roman"/>
          <w:sz w:val="20"/>
        </w:rPr>
        <w:t xml:space="preserve"> </w:t>
      </w:r>
      <w:r>
        <w:br w:type="page"/>
      </w:r>
    </w:p>
    <w:p>
      <w:pPr>
        <w:pStyle w:val="TextBody"/>
        <w:bidi w:val="0"/>
        <w:spacing w:before="0" w:after="0"/>
        <w:ind w:left="1440" w:right="1080" w:hanging="0"/>
        <w:jc w:val="right"/>
        <w:rPr/>
      </w:pPr>
      <w:r>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CERTIFICATION BY KEVIN J. MCNAMARA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PURSUANT TO SECTION 906 OF THE SARBANES-OXLEY ACT OF 2002.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Pursuant to Section 906 of the Sarbanes-Oxley Act of 2002, the undersigned, as President and Chief Executive Officer of Chemed Corporation (“Company”), does hereby certify that: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1)          the Company’s Quarterly Report on Form 10-Q for the quarter ending June  30,  2026 (“Report”), fully complies with the requirements of Section 13(a) or 15(d) of the Securities Exchange Act of 1934;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ind w:left="1440" w:right="1080" w:hanging="0"/>
        <w:jc w:val="left"/>
        <w:rPr>
          <w:rFonts w:cs="Times New Roman"/>
          <w:szCs w:val="20"/>
        </w:rPr>
      </w:pPr>
      <w:r>
        <w:rPr>
          <w:rFonts w:cs="Times New Roman"/>
          <w:szCs w:val="20"/>
        </w:rPr>
        <w:t xml:space="preserve">﻿ </w:t>
      </w:r>
    </w:p>
    <w:tbl>
      <w:tblPr>
        <w:tblW w:w="5080" w:type="dxa"/>
        <w:jc w:val="left"/>
        <w:tblInd w:w="1440" w:type="dxa"/>
        <w:tblLayout w:type="fixed"/>
        <w:tblCellMar>
          <w:top w:w="0" w:type="dxa"/>
          <w:left w:w="0" w:type="dxa"/>
          <w:bottom w:w="0" w:type="dxa"/>
          <w:right w:w="0" w:type="dxa"/>
        </w:tblCellMar>
      </w:tblPr>
      <w:tblGrid>
        <w:gridCol w:w="1805"/>
        <w:gridCol w:w="60"/>
        <w:gridCol w:w="3215"/>
      </w:tblGrid>
      <w:tr>
        <w:trPr/>
        <w:tc>
          <w:tcPr>
            <w:tcW w:w="180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r>
        <w:trPr/>
        <w:tc>
          <w:tcPr>
            <w:tcW w:w="1805"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sz w:val="20"/>
              </w:rPr>
              <w:t>Date:     July 31, 2026</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/s/ Kevin J. McNamara</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Kevin J. McNamara</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215" w:type="dxa"/>
            <w:tcBorders/>
          </w:tcPr>
          <w:p>
            <w:pPr>
              <w:pStyle w:val="TableContents"/>
              <w:bidi w:val="0"/>
              <w:spacing w:before="0" w:after="0"/>
              <w:ind w:left="0" w:right="0" w:hanging="0"/>
              <w:jc w:val="left"/>
              <w:rPr/>
            </w:pPr>
            <w:r>
              <w:rPr/>
              <w:t> </w:t>
            </w:r>
          </w:p>
        </w:tc>
      </w:tr>
    </w:tbl>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E-4 </w:t>
      </w:r>
    </w:p>
    <w:p>
      <w:pPr>
        <w:pStyle w:val="HorizontalLine"/>
        <w:pBdr>
          <w:bottom w:val="double" w:sz="6" w:space="0" w:color="808080"/>
        </w:pBdr>
        <w:bidi w:val="0"/>
        <w:ind w:left="1440" w:right="1080" w:hanging="0"/>
        <w:jc w:val="left"/>
        <w:rPr/>
      </w:pPr>
      <w:r>
        <w:rPr/>
      </w:r>
    </w:p>
    <w:p>
      <w:pPr>
        <w:pStyle w:val="TextBody"/>
        <w:bidi w:val="0"/>
        <w:spacing w:before="0" w:after="0"/>
        <w:ind w:left="1440" w:right="1080" w:hanging="0"/>
        <w:jc w:val="right"/>
        <w:rPr>
          <w:rFonts w:ascii="Times New Roman" w:hAnsi="Times New Roman"/>
          <w:sz w:val="20"/>
        </w:rPr>
      </w:pPr>
      <w:bookmarkStart w:id="25" w:name="che-20260630xex32_2.htm"/>
      <w:bookmarkStart w:id="26" w:name="ksche20260630xex32_2"/>
      <w:bookmarkEnd w:id="25"/>
      <w:bookmarkEnd w:id="26"/>
      <w:r>
        <w:rPr>
          <w:rFonts w:ascii="Times New Roman" w:hAnsi="Times New Roman"/>
          <w:b/>
          <w:sz w:val="20"/>
        </w:rPr>
        <w:t>EXHIBIT 32.2</w:t>
      </w:r>
      <w:r>
        <w:rPr>
          <w:rFonts w:ascii="Times New Roman" w:hAnsi="Times New Roman"/>
          <w:sz w:val="20"/>
        </w:rPr>
        <w:t xml:space="preserve"> </w:t>
      </w:r>
      <w:r>
        <w:br w:type="page"/>
      </w:r>
    </w:p>
    <w:p>
      <w:pPr>
        <w:pStyle w:val="TextBody"/>
        <w:bidi w:val="0"/>
        <w:spacing w:before="0" w:after="0"/>
        <w:ind w:left="1440" w:right="1080" w:hanging="0"/>
        <w:jc w:val="right"/>
        <w:rPr/>
      </w:pPr>
      <w:r>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CERTIFICATION BY MICHAEL D. WITZEMAN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PURSUANT TO SECTION 906 OF THE SARBANES-OXLEY ACT OF 2002.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left"/>
        <w:rPr>
          <w:rFonts w:ascii="Times New Roman" w:hAnsi="Times New Roman"/>
          <w:sz w:val="20"/>
        </w:rPr>
      </w:pPr>
      <w:r>
        <w:rPr>
          <w:rFonts w:ascii="Times New Roman" w:hAnsi="Times New Roman"/>
          <w:sz w:val="20"/>
        </w:rPr>
        <w:t xml:space="preserve">Pursuant to Section 906 of the Sarbanes-Oxley Act of 2002, the undersigned, as Executive Vice President and Chief Financial Officer of Chemed Corporation (“Company”), does hereby certify that: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1)           the Company’s Quarterly Report on Form 10-Q for the quarter ending June  30,  2026 (“Report”), fully complies with the requirements of Section 13(a) or 15(d) of the Securities Exchange Act of 1934; and </w:t>
      </w:r>
    </w:p>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2880" w:right="1080" w:hanging="1440"/>
        <w:jc w:val="left"/>
        <w:rPr/>
      </w:pPr>
      <w:r>
        <w:rPr/>
        <w:t>              </w:t>
      </w: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ind w:left="1440" w:right="1080" w:hanging="0"/>
        <w:jc w:val="both"/>
        <w:rPr>
          <w:rFonts w:cs="Times New Roman"/>
          <w:szCs w:val="20"/>
        </w:rPr>
      </w:pPr>
      <w:r>
        <w:rPr>
          <w:rFonts w:cs="Times New Roman"/>
          <w:szCs w:val="20"/>
        </w:rPr>
        <w:t xml:space="preserve">﻿ </w:t>
      </w:r>
    </w:p>
    <w:tbl>
      <w:tblPr>
        <w:tblW w:w="7240" w:type="dxa"/>
        <w:jc w:val="left"/>
        <w:tblInd w:w="1440" w:type="dxa"/>
        <w:tblLayout w:type="fixed"/>
        <w:tblCellMar>
          <w:top w:w="0" w:type="dxa"/>
          <w:left w:w="0" w:type="dxa"/>
          <w:bottom w:w="0" w:type="dxa"/>
          <w:right w:w="0" w:type="dxa"/>
        </w:tblCellMar>
      </w:tblPr>
      <w:tblGrid>
        <w:gridCol w:w="1805"/>
        <w:gridCol w:w="60"/>
        <w:gridCol w:w="5375"/>
      </w:tblGrid>
      <w:tr>
        <w:trPr/>
        <w:tc>
          <w:tcPr>
            <w:tcW w:w="180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bidi w:val="0"/>
              <w:spacing w:before="0" w:after="0"/>
              <w:ind w:left="0" w:right="0" w:hanging="0"/>
              <w:jc w:val="left"/>
              <w:rPr/>
            </w:pPr>
            <w:r>
              <w:rPr/>
              <w:t> </w:t>
            </w:r>
          </w:p>
        </w:tc>
      </w:tr>
      <w:tr>
        <w:trPr/>
        <w:tc>
          <w:tcPr>
            <w:tcW w:w="1805"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sz w:val="20"/>
              </w:rPr>
              <w:t>Date:    July 31,  2026</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pBdr>
                <w:bottom w:val="single" w:sz="8" w:space="1" w:color="000000"/>
              </w:pBdr>
              <w:bidi w:val="0"/>
              <w:spacing w:before="0" w:after="0"/>
              <w:ind w:left="0" w:right="0" w:hanging="0"/>
              <w:jc w:val="left"/>
              <w:rPr>
                <w:rFonts w:ascii="Times New Roman" w:hAnsi="Times New Roman"/>
                <w:sz w:val="20"/>
              </w:rPr>
            </w:pPr>
            <w:r>
              <w:rPr>
                <w:rFonts w:ascii="Times New Roman" w:hAnsi="Times New Roman"/>
                <w:sz w:val="20"/>
              </w:rPr>
              <w:t>/s/ Michael D. Witzeman</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Michael D. Witzeman</w:t>
            </w:r>
          </w:p>
        </w:tc>
      </w:tr>
      <w:tr>
        <w:trPr/>
        <w:tc>
          <w:tcPr>
            <w:tcW w:w="180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537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 Controller and Chief Financial Officer)</w:t>
            </w:r>
          </w:p>
        </w:tc>
      </w:tr>
    </w:tbl>
    <w:p>
      <w:pPr>
        <w:pStyle w:val="TextBody"/>
        <w:bidi w:val="0"/>
        <w:spacing w:before="0" w:after="0"/>
        <w:ind w:left="1440" w:right="1080" w:hanging="0"/>
        <w:jc w:val="left"/>
        <w:rPr>
          <w:rFonts w:cs="Times New Roman"/>
          <w:szCs w:val="20"/>
        </w:rPr>
      </w:pPr>
      <w:r>
        <w:rPr>
          <w:rFonts w:cs="Times New Roman"/>
          <w:szCs w:val="20"/>
        </w:rPr>
        <w:t xml:space="preserve">﻿ </w:t>
      </w:r>
    </w:p>
    <w:p>
      <w:pPr>
        <w:pStyle w:val="TextBody"/>
        <w:bidi w:val="0"/>
        <w:spacing w:before="0" w:after="0"/>
        <w:ind w:left="1440" w:right="1080" w:hanging="0"/>
        <w:jc w:val="center"/>
        <w:rPr>
          <w:rFonts w:ascii="Times New Roman" w:hAnsi="Times New Roman"/>
          <w:sz w:val="20"/>
        </w:rPr>
      </w:pPr>
      <w:r>
        <w:rPr>
          <w:rFonts w:ascii="Times New Roman" w:hAnsi="Times New Roman"/>
          <w:sz w:val="20"/>
        </w:rPr>
        <w:t xml:space="preserve">E-5 </w:t>
      </w:r>
    </w:p>
    <w:p>
      <w:pPr>
        <w:pStyle w:val="HorizontalLine"/>
        <w:pBdr>
          <w:bottom w:val="double" w:sz="6" w:space="0" w:color="808080"/>
        </w:pBdr>
        <w:bidi w:val="0"/>
        <w:spacing w:before="0" w:after="283"/>
        <w:ind w:left="1440" w:right="108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Arial">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584/000001958426000008/che-20260410xex10_1.htm" TargetMode="External"/><Relationship Id="rId3" Type="http://schemas.openxmlformats.org/officeDocument/2006/relationships/hyperlink" Target="http://www.sec.gov/Archives/edgar/data/19584/000001958426000008/che-20260410x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18273</Words>
  <Characters>100470</Characters>
  <CharactersWithSpaces>116953</CharactersWithSpaces>
  <Paragraphs>4671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