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color w:val="auto"/>
        </w:rPr>
        <w:t>UNITED STATES</w:t>
      </w:r>
    </w:p>
    <w:p>
      <w:pPr>
        <w:jc w:val="center"/>
        <w:ind w:right="-179"/>
        <w:spacing w:after="0"/>
        <w:rPr>
          <w:sz w:val="20"/>
          <w:szCs w:val="20"/>
          <w:color w:val="auto"/>
        </w:rPr>
      </w:pPr>
      <w:r>
        <w:rPr>
          <w:rFonts w:ascii="Times New Roman" w:cs="Times New Roman" w:eastAsia="Times New Roman" w:hAnsi="Times New Roman"/>
          <w:sz w:val="28"/>
          <w:szCs w:val="28"/>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jc w:val="center"/>
        <w:ind w:right="-179"/>
        <w:spacing w:after="0" w:line="238" w:lineRule="auto"/>
        <w:rPr>
          <w:sz w:val="20"/>
          <w:szCs w:val="20"/>
          <w:color w:val="auto"/>
        </w:rPr>
      </w:pPr>
      <w:r>
        <w:rPr>
          <w:rFonts w:ascii="Times New Roman" w:cs="Times New Roman" w:eastAsia="Times New Roman" w:hAnsi="Times New Roman"/>
          <w:sz w:val="18"/>
          <w:szCs w:val="18"/>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1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May 18, 2026</w:t>
      </w:r>
    </w:p>
    <w:p>
      <w:pPr>
        <w:spacing w:after="0" w:line="1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color w:val="auto"/>
        </w:rPr>
        <w:t>CHEMED CORPORATION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202" w:right="499" w:bottom="1440" w:gutter="0" w:footer="0" w:header="0"/>
        </w:sectPr>
      </w:pPr>
    </w:p>
    <w:p>
      <w:pPr>
        <w:spacing w:after="0" w:line="13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Delaware</w:t>
      </w:r>
    </w:p>
    <w:p>
      <w:pPr>
        <w:ind w:left="1360"/>
        <w:spacing w:after="0" w:line="221" w:lineRule="auto"/>
        <w:rPr>
          <w:sz w:val="20"/>
          <w:szCs w:val="20"/>
          <w:color w:val="auto"/>
        </w:rPr>
      </w:pPr>
      <w:r>
        <w:rPr>
          <w:rFonts w:ascii="Times New Roman" w:cs="Times New Roman" w:eastAsia="Times New Roman" w:hAnsi="Times New Roman"/>
          <w:sz w:val="18"/>
          <w:szCs w:val="18"/>
          <w:color w:val="auto"/>
        </w:rPr>
        <w:t>(State or other</w:t>
      </w:r>
    </w:p>
    <w:p>
      <w:pPr>
        <w:ind w:left="1380"/>
        <w:spacing w:after="0" w:line="219" w:lineRule="auto"/>
        <w:rPr>
          <w:sz w:val="20"/>
          <w:szCs w:val="20"/>
          <w:color w:val="auto"/>
        </w:rPr>
      </w:pPr>
      <w:r>
        <w:rPr>
          <w:rFonts w:ascii="Times New Roman" w:cs="Times New Roman" w:eastAsia="Times New Roman" w:hAnsi="Times New Roman"/>
          <w:sz w:val="18"/>
          <w:szCs w:val="18"/>
          <w:color w:val="auto"/>
        </w:rPr>
        <w:t>jurisdiction‎ of</w:t>
      </w:r>
    </w:p>
    <w:p>
      <w:pPr>
        <w:spacing w:after="0" w:line="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1-8351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31-0791746</w:t>
      </w:r>
    </w:p>
    <w:p>
      <w:pPr>
        <w:spacing w:after="0" w:line="221" w:lineRule="auto"/>
        <w:rPr>
          <w:sz w:val="20"/>
          <w:szCs w:val="20"/>
          <w:color w:val="auto"/>
        </w:rPr>
      </w:pPr>
      <w:r>
        <w:rPr>
          <w:rFonts w:ascii="Times New Roman" w:cs="Times New Roman" w:eastAsia="Times New Roman" w:hAnsi="Times New Roman"/>
          <w:sz w:val="18"/>
          <w:szCs w:val="18"/>
          <w:color w:val="auto"/>
        </w:rPr>
        <w:t>(I.R.S. Employer</w:t>
      </w:r>
    </w:p>
    <w:p>
      <w:pPr>
        <w:ind w:left="140"/>
        <w:spacing w:after="0" w:line="219" w:lineRule="auto"/>
        <w:rPr>
          <w:sz w:val="20"/>
          <w:szCs w:val="20"/>
          <w:color w:val="auto"/>
        </w:rPr>
      </w:pPr>
      <w:r>
        <w:rPr>
          <w:rFonts w:ascii="Times New Roman" w:cs="Times New Roman" w:eastAsia="Times New Roman" w:hAnsi="Times New Roman"/>
          <w:sz w:val="18"/>
          <w:szCs w:val="18"/>
          <w:color w:val="auto"/>
        </w:rPr>
        <w:t>‎Identification</w:t>
      </w:r>
    </w:p>
    <w:p>
      <w:pPr>
        <w:spacing w:after="0" w:line="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Number)‎</w:t>
      </w:r>
    </w:p>
    <w:p>
      <w:pPr>
        <w:spacing w:after="0" w:line="165" w:lineRule="exact"/>
        <w:rPr>
          <w:sz w:val="24"/>
          <w:szCs w:val="24"/>
          <w:color w:val="auto"/>
        </w:rPr>
      </w:pPr>
    </w:p>
    <w:p>
      <w:pPr>
        <w:sectPr>
          <w:pgSz w:w="11900" w:h="16838" w:orient="portrait"/>
          <w:cols w:equalWidth="0" w:num="3">
            <w:col w:w="3900" w:space="720"/>
            <w:col w:w="3400" w:space="720"/>
            <w:col w:w="2340"/>
          </w:cols>
          <w:pgMar w:left="320" w:top="202" w:right="49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8"/>
          <w:szCs w:val="18"/>
          <w:color w:val="auto"/>
        </w:rPr>
        <w:t>2600 First Financial Center, 255 East 5th Street, Cincinnati, OH 45202</w:t>
      </w:r>
    </w:p>
    <w:p>
      <w:pPr>
        <w:spacing w:after="0" w:line="2" w:lineRule="exact"/>
        <w:rPr>
          <w:sz w:val="24"/>
          <w:szCs w:val="24"/>
          <w:color w:val="auto"/>
        </w:rPr>
      </w:pPr>
    </w:p>
    <w:p>
      <w:pPr>
        <w:ind w:left="3500"/>
        <w:spacing w:after="0"/>
        <w:tabs>
          <w:tab w:leader="none" w:pos="692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1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(513) 762-6690</w:t>
      </w:r>
    </w:p>
    <w:p>
      <w:pPr>
        <w:sectPr>
          <w:pgSz w:w="11900" w:h="16838" w:orient="portrait"/>
          <w:cols w:equalWidth="0" w:num="1">
            <w:col w:w="11080"/>
          </w:cols>
          <w:pgMar w:left="320" w:top="202" w:right="499" w:bottom="1440" w:gutter="0" w:footer="0" w:header="0"/>
          <w:type w:val="continuous"/>
        </w:sectPr>
      </w:pPr>
    </w:p>
    <w:p>
      <w:pPr>
        <w:spacing w:after="0" w:line="200" w:lineRule="exact"/>
        <w:rPr>
          <w:sz w:val="24"/>
          <w:szCs w:val="24"/>
          <w:color w:val="auto"/>
        </w:rPr>
      </w:pPr>
    </w:p>
    <w:p>
      <w:pPr>
        <w:spacing w:after="0" w:line="36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2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16" w:lineRule="exact"/>
        <w:rPr>
          <w:sz w:val="24"/>
          <w:szCs w:val="24"/>
          <w:color w:val="auto"/>
        </w:rPr>
      </w:pPr>
    </w:p>
    <w:p>
      <w:pPr>
        <w:sectPr>
          <w:pgSz w:w="11900" w:h="16838" w:orient="portrait"/>
          <w:cols w:equalWidth="0" w:num="3">
            <w:col w:w="4300" w:space="720"/>
            <w:col w:w="2260" w:space="720"/>
            <w:col w:w="3080"/>
          </w:cols>
          <w:pgMar w:left="320" w:top="202" w:right="49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Capital stock $1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CHE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4700" w:space="720"/>
            <w:col w:w="2900" w:space="720"/>
            <w:col w:w="2040"/>
          </w:cols>
          <w:pgMar w:left="320" w:top="202" w:right="499" w:bottom="1440" w:gutter="0" w:footer="0" w:header="0"/>
          <w:type w:val="continuous"/>
        </w:sectPr>
      </w:pPr>
    </w:p>
    <w:p>
      <w:pPr>
        <w:spacing w:after="0" w:line="160"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5"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[_]</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21" w:lineRule="auto"/>
        <w:tabs>
          <w:tab w:leader="none" w:pos="420" w:val="left"/>
        </w:tabs>
        <w:rPr>
          <w:sz w:val="20"/>
          <w:szCs w:val="20"/>
          <w:color w:val="auto"/>
        </w:rPr>
      </w:pPr>
      <w:r>
        <w:rPr>
          <w:rFonts w:ascii="Times New Roman" w:cs="Times New Roman" w:eastAsia="Times New Roman" w:hAnsi="Times New Roman"/>
          <w:sz w:val="18"/>
          <w:szCs w:val="18"/>
          <w:color w:val="auto"/>
        </w:rPr>
        <w:t>[_]</w:t>
        <w:tab/>
        <w:t>Soliciting material pursuant to Rule 14a-12 under the Exchange Act (17 CFR 240-14a-12)</w:t>
      </w:r>
    </w:p>
    <w:p>
      <w:pPr>
        <w:spacing w:after="0" w:line="235" w:lineRule="auto"/>
        <w:tabs>
          <w:tab w:leader="none" w:pos="420" w:val="left"/>
        </w:tabs>
        <w:rPr>
          <w:sz w:val="20"/>
          <w:szCs w:val="20"/>
          <w:color w:val="auto"/>
        </w:rPr>
      </w:pPr>
      <w:r>
        <w:rPr>
          <w:rFonts w:ascii="Times New Roman" w:cs="Times New Roman" w:eastAsia="Times New Roman" w:hAnsi="Times New Roman"/>
          <w:sz w:val="18"/>
          <w:szCs w:val="18"/>
          <w:color w:val="auto"/>
        </w:rPr>
        <w:t>[_]</w:t>
        <w:tab/>
        <w:t>Pre-commencement communications pursuant to Rule 14d-2(b) under Exchange Act (17 CFR 240-14d-2(b))</w:t>
      </w: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[_]</w:t>
        <w:tab/>
        <w:t>Pre-commencement communications pursuant to Rule 13e-4 (c) under Exchange Act (17 CFR 240-13e-4(c))</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p>
      <w:pPr>
        <w:spacing w:after="0" w:line="171"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 Emerging growth company [_]</w:t>
      </w:r>
    </w:p>
    <w:p>
      <w:pPr>
        <w:spacing w:after="0" w:line="95"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200" w:lineRule="exact"/>
        <w:rPr>
          <w:sz w:val="24"/>
          <w:szCs w:val="24"/>
          <w:color w:val="auto"/>
        </w:rPr>
      </w:pPr>
    </w:p>
    <w:p>
      <w:pPr>
        <w:spacing w:after="0" w:line="3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02"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89"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18, 2026, Chemed Corporation held its annual meeting of stockholders.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voted on the matters set forth below:</w:t>
      </w:r>
    </w:p>
    <w:p>
      <w:pPr>
        <w:spacing w:after="0" w:line="181" w:lineRule="exact"/>
        <w:rPr>
          <w:sz w:val="20"/>
          <w:szCs w:val="20"/>
          <w:color w:val="auto"/>
        </w:rPr>
      </w:pPr>
    </w:p>
    <w:p>
      <w:pPr>
        <w:ind w:left="13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Item 1. Election of Directors. </w:t>
      </w:r>
      <w:r>
        <w:rPr>
          <w:rFonts w:ascii="Times New Roman" w:cs="Times New Roman" w:eastAsia="Times New Roman" w:hAnsi="Times New Roman"/>
          <w:sz w:val="18"/>
          <w:szCs w:val="18"/>
          <w:color w:val="auto"/>
        </w:rPr>
        <w:t>The following directors, who constitute the entire Board of Directors, were elected at the meeting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20"/>
                <w:szCs w:val="20"/>
                <w:color w:val="auto"/>
              </w:rPr>
              <w:t>Nominee</w:t>
            </w:r>
          </w:p>
        </w:tc>
        <w:tc>
          <w:tcPr>
            <w:tcW w:w="400" w:type="dxa"/>
            <w:vAlign w:val="bottom"/>
          </w:tcPr>
          <w:p>
            <w:pPr>
              <w:spacing w:after="0"/>
              <w:rPr>
                <w:sz w:val="21"/>
                <w:szCs w:val="21"/>
                <w:color w:val="auto"/>
              </w:rPr>
            </w:pPr>
          </w:p>
        </w:tc>
        <w:tc>
          <w:tcPr>
            <w:tcW w:w="16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color w:val="auto"/>
              </w:rPr>
              <w:t>For</w:t>
            </w:r>
          </w:p>
        </w:tc>
        <w:tc>
          <w:tcPr>
            <w:tcW w:w="160" w:type="dxa"/>
            <w:vAlign w:val="bottom"/>
          </w:tcPr>
          <w:p>
            <w:pPr>
              <w:spacing w:after="0"/>
              <w:rPr>
                <w:sz w:val="21"/>
                <w:szCs w:val="21"/>
                <w:color w:val="auto"/>
              </w:rPr>
            </w:pPr>
          </w:p>
        </w:tc>
        <w:tc>
          <w:tcPr>
            <w:tcW w:w="17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Against</w:t>
            </w:r>
          </w:p>
        </w:tc>
        <w:tc>
          <w:tcPr>
            <w:tcW w:w="140" w:type="dxa"/>
            <w:vAlign w:val="bottom"/>
          </w:tcPr>
          <w:p>
            <w:pPr>
              <w:spacing w:after="0"/>
              <w:rPr>
                <w:sz w:val="21"/>
                <w:szCs w:val="21"/>
                <w:color w:val="auto"/>
              </w:rPr>
            </w:pPr>
          </w:p>
        </w:tc>
        <w:tc>
          <w:tcPr>
            <w:tcW w:w="15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rPr>
              <w:t>Abstentions</w:t>
            </w:r>
          </w:p>
        </w:tc>
        <w:tc>
          <w:tcPr>
            <w:tcW w:w="200" w:type="dxa"/>
            <w:vAlign w:val="bottom"/>
          </w:tcPr>
          <w:p>
            <w:pPr>
              <w:spacing w:after="0"/>
              <w:rPr>
                <w:sz w:val="21"/>
                <w:szCs w:val="21"/>
                <w:color w:val="auto"/>
              </w:rPr>
            </w:pPr>
          </w:p>
        </w:tc>
        <w:tc>
          <w:tcPr>
            <w:tcW w:w="21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Broker non-votes</w:t>
            </w:r>
          </w:p>
        </w:tc>
      </w:tr>
      <w:tr>
        <w:trPr>
          <w:trHeight w:val="256"/>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Kevin J. McNamara</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11,111,578</w:t>
            </w:r>
          </w:p>
        </w:tc>
        <w:tc>
          <w:tcPr>
            <w:tcW w:w="1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204,388</w:t>
            </w: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6,735</w:t>
            </w:r>
          </w:p>
        </w:tc>
        <w:tc>
          <w:tcPr>
            <w:tcW w:w="20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Ron DeLyons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11,252,597</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62,247</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7,858</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Patrick P. Grace</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9,368,923</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1,946,697</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7,082</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Christopher J. Heaney</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10,891,279</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424,319</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7,104</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Thomas C. Hutton</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11,053,081</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262,174</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7,447</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Andrea R. Lindell</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10,642,996</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672,859</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6,847</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Elaine McCarthy</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11,173,021</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141,697</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7,984</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John M. Mount Jr.</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11,245,765</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69,479</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7,458</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7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George J. Walsh III</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10,007,160</w:t>
            </w:r>
          </w:p>
        </w:tc>
        <w:tc>
          <w:tcPr>
            <w:tcW w:w="1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1,308,559</w:t>
            </w:r>
          </w:p>
        </w:tc>
        <w:tc>
          <w:tcPr>
            <w:tcW w:w="1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6,983</w:t>
            </w:r>
          </w:p>
        </w:tc>
        <w:tc>
          <w:tcPr>
            <w:tcW w:w="20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769,580</w:t>
            </w:r>
          </w:p>
        </w:tc>
      </w:tr>
    </w:tbl>
    <w:p>
      <w:pPr>
        <w:spacing w:after="0" w:line="200" w:lineRule="exact"/>
        <w:rPr>
          <w:sz w:val="20"/>
          <w:szCs w:val="20"/>
          <w:color w:val="auto"/>
        </w:rPr>
      </w:pPr>
    </w:p>
    <w:p>
      <w:pPr>
        <w:spacing w:after="0" w:line="339" w:lineRule="exact"/>
        <w:rPr>
          <w:sz w:val="20"/>
          <w:szCs w:val="20"/>
          <w:color w:val="auto"/>
        </w:rPr>
      </w:pPr>
    </w:p>
    <w:p>
      <w:pPr>
        <w:ind w:left="1300" w:right="40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Item 2. Ratification of Independent Accountants. </w:t>
      </w:r>
      <w:r>
        <w:rPr>
          <w:rFonts w:ascii="Times New Roman" w:cs="Times New Roman" w:eastAsia="Times New Roman" w:hAnsi="Times New Roman"/>
          <w:sz w:val="18"/>
          <w:szCs w:val="18"/>
          <w:color w:val="auto"/>
        </w:rPr>
        <w:t>The proposal to ratify the appointment of PricewaterhouseCoopers LLP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 Committee of the Board of Directors as the company’s independent accountants for the year ending December 31, 2026, was approved with the following votes: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20" w:type="dxa"/>
            <w:vAlign w:val="bottom"/>
          </w:tcPr>
          <w:p>
            <w:pPr>
              <w:spacing w:after="0"/>
              <w:rPr>
                <w:sz w:val="21"/>
                <w:szCs w:val="21"/>
                <w:color w:val="auto"/>
              </w:rPr>
            </w:pPr>
          </w:p>
        </w:tc>
        <w:tc>
          <w:tcPr>
            <w:tcW w:w="342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20"/>
                <w:szCs w:val="20"/>
                <w:color w:val="auto"/>
              </w:rPr>
              <w:t>Voted</w:t>
            </w:r>
          </w:p>
        </w:tc>
      </w:tr>
      <w:tr>
        <w:trPr>
          <w:trHeight w:val="256"/>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For</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11,562,294</w:t>
            </w: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Against</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523,129</w:t>
            </w: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Abstain</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6,858</w:t>
            </w: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Broker non-votes</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0" w:lineRule="exact"/>
        <w:rPr>
          <w:sz w:val="20"/>
          <w:szCs w:val="20"/>
          <w:color w:val="auto"/>
        </w:rPr>
      </w:pPr>
    </w:p>
    <w:p>
      <w:pPr>
        <w:spacing w:after="0" w:line="339" w:lineRule="exact"/>
        <w:rPr>
          <w:sz w:val="20"/>
          <w:szCs w:val="20"/>
          <w:color w:val="auto"/>
        </w:rPr>
      </w:pPr>
    </w:p>
    <w:p>
      <w:pPr>
        <w:ind w:left="1300" w:righ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Item 3. Executive Compensation. </w:t>
      </w:r>
      <w:r>
        <w:rPr>
          <w:rFonts w:ascii="Times New Roman" w:cs="Times New Roman" w:eastAsia="Times New Roman" w:hAnsi="Times New Roman"/>
          <w:sz w:val="18"/>
          <w:szCs w:val="18"/>
          <w:color w:val="auto"/>
        </w:rPr>
        <w:t>The proposal to approve, on a non-binding basis, the Company’s executive compensation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not approved with the following votes: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342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20"/>
                <w:szCs w:val="20"/>
                <w:color w:val="auto"/>
              </w:rPr>
              <w:t>Voted</w:t>
            </w:r>
          </w:p>
        </w:tc>
      </w:tr>
      <w:tr>
        <w:trPr>
          <w:trHeight w:val="256"/>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For</w:t>
            </w:r>
          </w:p>
        </w:tc>
        <w:tc>
          <w:tcPr>
            <w:tcW w:w="7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4,383,683</w:t>
            </w: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Against</w:t>
            </w:r>
          </w:p>
        </w:tc>
        <w:tc>
          <w:tcPr>
            <w:tcW w:w="7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6,926,656</w:t>
            </w:r>
          </w:p>
        </w:tc>
      </w:tr>
      <w:tr>
        <w:trPr>
          <w:trHeight w:val="270"/>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Abstain</w:t>
            </w:r>
          </w:p>
        </w:tc>
        <w:tc>
          <w:tcPr>
            <w:tcW w:w="7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12,363</w:t>
            </w:r>
          </w:p>
        </w:tc>
      </w:tr>
      <w:tr>
        <w:trPr>
          <w:trHeight w:val="255"/>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Broker non-votes</w:t>
            </w:r>
          </w:p>
        </w:tc>
        <w:tc>
          <w:tcPr>
            <w:tcW w:w="7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769,580</w:t>
            </w:r>
          </w:p>
        </w:tc>
      </w:tr>
      <w:tr>
        <w:trPr>
          <w:trHeight w:val="238"/>
        </w:trPr>
        <w:tc>
          <w:tcPr>
            <w:tcW w:w="3300" w:type="dxa"/>
            <w:vAlign w:val="bottom"/>
          </w:tcPr>
          <w:p>
            <w:pPr>
              <w:spacing w:after="0"/>
              <w:rPr>
                <w:sz w:val="20"/>
                <w:szCs w:val="20"/>
                <w:color w:val="auto"/>
              </w:rPr>
            </w:pPr>
          </w:p>
        </w:tc>
        <w:tc>
          <w:tcPr>
            <w:tcW w:w="7940" w:type="dxa"/>
            <w:vAlign w:val="bottom"/>
            <w:gridSpan w:val="2"/>
          </w:tcPr>
          <w:p>
            <w:pPr>
              <w:jc w:val="right"/>
              <w:ind w:right="5101"/>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w:t>
            </w:r>
          </w:p>
        </w:tc>
      </w:tr>
      <w:tr>
        <w:trPr>
          <w:trHeight w:val="520"/>
        </w:trPr>
        <w:tc>
          <w:tcPr>
            <w:tcW w:w="33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66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CHEMED CORPORATION</w:t>
            </w:r>
          </w:p>
        </w:tc>
      </w:tr>
      <w:tr>
        <w:trPr>
          <w:trHeight w:val="338"/>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May 19, 2026</w:t>
            </w:r>
          </w:p>
        </w:tc>
        <w:tc>
          <w:tcPr>
            <w:tcW w:w="766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By: /s/ Michael D. Witzeman</w:t>
            </w:r>
          </w:p>
        </w:tc>
      </w:tr>
      <w:tr>
        <w:trPr>
          <w:trHeight w:val="20"/>
        </w:trPr>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4"/>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360" w:type="dxa"/>
            <w:vAlign w:val="bottom"/>
            <w:gridSpan w:val="2"/>
          </w:tcPr>
          <w:p>
            <w:pPr>
              <w:ind w:left="5560"/>
              <w:spacing w:after="0" w:line="164" w:lineRule="exact"/>
              <w:rPr>
                <w:sz w:val="20"/>
                <w:szCs w:val="20"/>
                <w:color w:val="auto"/>
              </w:rPr>
            </w:pPr>
            <w:r>
              <w:rPr>
                <w:rFonts w:ascii="Times New Roman" w:cs="Times New Roman" w:eastAsia="Times New Roman" w:hAnsi="Times New Roman"/>
                <w:sz w:val="18"/>
                <w:szCs w:val="18"/>
                <w:color w:val="auto"/>
              </w:rPr>
              <w:t>Michael D. Witzeman</w:t>
            </w:r>
          </w:p>
        </w:tc>
        <w:tc>
          <w:tcPr>
            <w:tcW w:w="30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60" w:type="dxa"/>
            <w:vAlign w:val="bottom"/>
            <w:gridSpan w:val="3"/>
          </w:tcPr>
          <w:p>
            <w:pPr>
              <w:ind w:left="5560"/>
              <w:spacing w:after="0" w:line="202" w:lineRule="exact"/>
              <w:rPr>
                <w:sz w:val="20"/>
                <w:szCs w:val="20"/>
                <w:color w:val="auto"/>
              </w:rPr>
            </w:pPr>
            <w:r>
              <w:rPr>
                <w:rFonts w:ascii="Times New Roman" w:cs="Times New Roman" w:eastAsia="Times New Roman" w:hAnsi="Times New Roman"/>
                <w:sz w:val="18"/>
                <w:szCs w:val="18"/>
                <w:color w:val="auto"/>
                <w:w w:val="97"/>
              </w:rPr>
              <w:t>Executive Vice President and</w:t>
            </w:r>
          </w:p>
        </w:tc>
      </w:tr>
      <w:tr>
        <w:trPr>
          <w:trHeight w:val="234"/>
        </w:trPr>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660" w:type="dxa"/>
            <w:vAlign w:val="bottom"/>
            <w:gridSpan w:val="3"/>
          </w:tcPr>
          <w:p>
            <w:pPr>
              <w:ind w:left="55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08"/>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6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w:t>
            </w:r>
          </w:p>
        </w:tc>
      </w:tr>
    </w:tbl>
    <w:p>
      <w:pPr>
        <w:spacing w:after="0" w:line="1" w:lineRule="exact"/>
        <w:rPr>
          <w:sz w:val="20"/>
          <w:szCs w:val="20"/>
          <w:color w:val="auto"/>
        </w:rPr>
      </w:pPr>
    </w:p>
    <w:sectPr>
      <w:pgSz w:w="11900" w:h="16838" w:orient="portrait"/>
      <w:cols w:equalWidth="0" w:num="1">
        <w:col w:w="11080"/>
      </w:cols>
      <w:pgMar w:left="320" w:top="29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2026-05-19T09:45:02Z</dcterms:created>
  <dcterms:modified xsi:type="dcterms:W3CDTF">2026-05-19T09:45:02Z</dcterms:modified>
</cp:coreProperties>
</file>