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line="234" w:lineRule="auto"/>
        <w:rPr>
          <w:sz w:val="20"/>
          <w:szCs w:val="20"/>
          <w:color w:val="auto"/>
        </w:rPr>
      </w:pPr>
      <w:r>
        <w:rPr>
          <w:rFonts w:ascii="Times New Roman" w:cs="Times New Roman" w:eastAsia="Times New Roman" w:hAnsi="Times New Roman"/>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0" w:lineRule="exact"/>
        <w:rPr>
          <w:sz w:val="24"/>
          <w:szCs w:val="24"/>
          <w:color w:val="auto"/>
        </w:rPr>
      </w:pPr>
    </w:p>
    <w:p>
      <w:pPr>
        <w:ind w:left="340" w:right="700" w:hanging="8"/>
        <w:spacing w:after="0" w:line="336" w:lineRule="auto"/>
        <w:tabs>
          <w:tab w:leader="none" w:pos="71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Under Section 13 or 15 (d) of the Securities Exchange Act of 1934 for the Quarterly Period Ended September 30, 2026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1-8351</w:t>
      </w:r>
    </w:p>
    <w:p>
      <w:pPr>
        <w:spacing w:after="0" w:line="7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CHEMED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554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Delaware</w:t>
            </w:r>
          </w:p>
        </w:tc>
        <w:tc>
          <w:tcPr>
            <w:tcW w:w="37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31-0791746</w:t>
            </w:r>
          </w:p>
        </w:tc>
      </w:tr>
      <w:tr>
        <w:trPr>
          <w:trHeight w:val="189"/>
        </w:trPr>
        <w:tc>
          <w:tcPr>
            <w:tcW w:w="554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150"/>
              <w:spacing w:after="0" w:line="18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189"/>
        </w:trPr>
        <w:tc>
          <w:tcPr>
            <w:tcW w:w="5540" w:type="dxa"/>
            <w:vAlign w:val="bottom"/>
          </w:tcPr>
          <w:p>
            <w:pPr>
              <w:jc w:val="center"/>
              <w:ind w:right="1130"/>
              <w:spacing w:after="0" w:line="189" w:lineRule="exact"/>
              <w:rPr>
                <w:sz w:val="20"/>
                <w:szCs w:val="20"/>
                <w:color w:val="auto"/>
              </w:rPr>
            </w:pPr>
            <w:r>
              <w:rPr>
                <w:rFonts w:ascii="Times New Roman" w:cs="Times New Roman" w:eastAsia="Times New Roman" w:hAnsi="Times New Roman"/>
                <w:sz w:val="18"/>
                <w:szCs w:val="18"/>
                <w:color w:val="auto"/>
                <w:w w:val="99"/>
              </w:rPr>
              <w:t>255 E. Fifth Street, Suite 2600, Cincinnati, Ohio</w:t>
            </w:r>
          </w:p>
        </w:tc>
        <w:tc>
          <w:tcPr>
            <w:tcW w:w="3720" w:type="dxa"/>
            <w:vAlign w:val="bottom"/>
          </w:tcPr>
          <w:p>
            <w:pPr>
              <w:jc w:val="right"/>
              <w:ind w:right="930"/>
              <w:spacing w:after="0" w:line="189" w:lineRule="exact"/>
              <w:rPr>
                <w:sz w:val="20"/>
                <w:szCs w:val="20"/>
                <w:color w:val="auto"/>
              </w:rPr>
            </w:pPr>
            <w:r>
              <w:rPr>
                <w:rFonts w:ascii="Times New Roman" w:cs="Times New Roman" w:eastAsia="Times New Roman" w:hAnsi="Times New Roman"/>
                <w:sz w:val="18"/>
                <w:szCs w:val="18"/>
                <w:color w:val="auto"/>
              </w:rPr>
              <w:t>45202</w:t>
            </w:r>
          </w:p>
        </w:tc>
      </w:tr>
      <w:tr>
        <w:trPr>
          <w:trHeight w:val="234"/>
        </w:trPr>
        <w:tc>
          <w:tcPr>
            <w:tcW w:w="55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(513) 762-6690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0" w:lineRule="exact"/>
        <w:rPr>
          <w:sz w:val="24"/>
          <w:szCs w:val="24"/>
          <w:color w:val="auto"/>
        </w:r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7"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7"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(as defined in Rule 12b-2 of the Exchange Act).</w:t>
      </w:r>
    </w:p>
    <w:p>
      <w:pPr>
        <w:spacing w:after="0" w:line="149" w:lineRule="exact"/>
        <w:rPr>
          <w:sz w:val="24"/>
          <w:szCs w:val="24"/>
          <w:color w:val="auto"/>
        </w:rPr>
      </w:pPr>
    </w:p>
    <w:p>
      <w:pPr>
        <w:ind w:right="3480" w:firstLine="13"/>
        <w:spacing w:after="0" w:line="336" w:lineRule="auto"/>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the extended transition period for complying with a new or revised financial accounting standards provided pursuant to Section 13 (a) of the Exchange Act </w:t>
      </w:r>
      <w:r>
        <w:rPr>
          <w:rFonts w:ascii="Wingdings" w:cs="Wingdings" w:eastAsia="Wingdings" w:hAnsi="Wingdings"/>
          <w:sz w:val="18"/>
          <w:szCs w:val="18"/>
          <w:b w:val="1"/>
          <w:bCs w:val="1"/>
          <w:color w:val="auto"/>
        </w:rPr>
        <w:t>o</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90" w:lineRule="exact"/>
        <w:rPr>
          <w:sz w:val="24"/>
          <w:szCs w:val="24"/>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No</w:t>
      </w:r>
      <w:r>
        <w:rPr>
          <w:rFonts w:ascii="Wingdings" w:cs="Wingdings" w:eastAsia="Wingdings" w:hAnsi="Wingdings"/>
          <w:sz w:val="18"/>
          <w:szCs w:val="18"/>
          <w:b w:val="1"/>
          <w:bCs w:val="1"/>
          <w:color w:val="auto"/>
        </w:rPr>
        <w:t xml:space="preserve"> x</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2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19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Capital Stock $1 Par Value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13,014,915 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w:t>
            </w:r>
          </w:p>
        </w:tc>
      </w:tr>
      <w:tr>
        <w:trPr>
          <w:trHeight w:val="837"/>
        </w:trPr>
        <w:tc>
          <w:tcPr>
            <w:tcW w:w="2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8"/>
        </w:trPr>
        <w:tc>
          <w:tcPr>
            <w:tcW w:w="28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8"/>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CHEMED CORPORATION AND</w:t>
            </w: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7"/>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SUBSIDIARY COMPANIES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360" w:type="dxa"/>
            <w:vAlign w:val="bottom"/>
            <w:gridSpan w:val="3"/>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89"/>
        </w:trPr>
        <w:tc>
          <w:tcPr>
            <w:tcW w:w="888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80" w:type="dxa"/>
            <w:vAlign w:val="bottom"/>
            <w:gridSpan w:val="22"/>
            <w:vMerge w:val="continue"/>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Item 1.</w:t>
            </w:r>
          </w:p>
        </w:tc>
        <w:tc>
          <w:tcPr>
            <w:tcW w:w="8040" w:type="dxa"/>
            <w:vAlign w:val="bottom"/>
            <w:gridSpan w:val="19"/>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2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Unaudited Consolidated Balance Sheets -</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800" w:type="dxa"/>
            <w:vAlign w:val="bottom"/>
            <w:tcBorders>
              <w:top w:val="single" w:sz="8" w:color="0000FF"/>
            </w:tcBorders>
            <w:gridSpan w:val="8"/>
          </w:tcPr>
          <w:p>
            <w:pPr>
              <w:ind w:left="40"/>
              <w:spacing w:after="0"/>
              <w:rPr>
                <w:sz w:val="20"/>
                <w:szCs w:val="20"/>
                <w:color w:val="auto"/>
              </w:rPr>
            </w:pPr>
            <w:r>
              <w:rPr>
                <w:rFonts w:ascii="Times New Roman" w:cs="Times New Roman" w:eastAsia="Times New Roman" w:hAnsi="Times New Roman"/>
                <w:sz w:val="18"/>
                <w:szCs w:val="18"/>
                <w:color w:val="auto"/>
                <w:w w:val="97"/>
              </w:rPr>
              <w:t>September 30, 2026 and December 31,</w:t>
            </w:r>
          </w:p>
        </w:tc>
        <w:tc>
          <w:tcPr>
            <w:tcW w:w="20" w:type="dxa"/>
            <w:vAlign w:val="bottom"/>
            <w:tcBorders>
              <w:top w:val="single" w:sz="8" w:color="0000EE"/>
            </w:tcBorders>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Income -</w:t>
            </w:r>
          </w:p>
        </w:tc>
        <w:tc>
          <w:tcPr>
            <w:tcW w:w="20" w:type="dxa"/>
            <w:vAlign w:val="bottom"/>
            <w:tcBorders>
              <w:bottom w:val="single" w:sz="8" w:color="0000EE"/>
            </w:tcBorders>
          </w:tcPr>
          <w:p>
            <w:pPr>
              <w:spacing w:after="0"/>
              <w:rPr>
                <w:sz w:val="24"/>
                <w:szCs w:val="24"/>
                <w:color w:val="auto"/>
              </w:rPr>
            </w:pPr>
          </w:p>
        </w:tc>
        <w:tc>
          <w:tcPr>
            <w:tcW w:w="4740" w:type="dxa"/>
            <w:vAlign w:val="bottom"/>
            <w:gridSpan w:val="8"/>
          </w:tcPr>
          <w:p>
            <w:pPr>
              <w:spacing w:after="0"/>
              <w:rPr>
                <w:sz w:val="24"/>
                <w:szCs w:val="24"/>
                <w:color w:val="auto"/>
              </w:rPr>
            </w:pP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19"/>
          </w:tcPr>
          <w:p>
            <w:pPr>
              <w:ind w:left="80"/>
              <w:spacing w:after="0"/>
              <w:rPr>
                <w:sz w:val="20"/>
                <w:szCs w:val="20"/>
                <w:color w:val="auto"/>
              </w:rPr>
            </w:pPr>
            <w:r>
              <w:rPr>
                <w:rFonts w:ascii="Times New Roman" w:cs="Times New Roman" w:eastAsia="Times New Roman" w:hAnsi="Times New Roman"/>
                <w:sz w:val="18"/>
                <w:szCs w:val="18"/>
                <w:color w:val="auto"/>
              </w:rPr>
              <w:t>Three months and nine months ended September 30, 2026 and 2025</w:t>
            </w: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 -</w:t>
            </w: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19"/>
          </w:tcPr>
          <w:p>
            <w:pPr>
              <w:ind w:left="80"/>
              <w:spacing w:after="0"/>
              <w:rPr>
                <w:sz w:val="20"/>
                <w:szCs w:val="20"/>
                <w:color w:val="auto"/>
              </w:rPr>
            </w:pPr>
            <w:r>
              <w:rPr>
                <w:rFonts w:ascii="Times New Roman" w:cs="Times New Roman" w:eastAsia="Times New Roman" w:hAnsi="Times New Roman"/>
                <w:sz w:val="18"/>
                <w:szCs w:val="18"/>
                <w:color w:val="auto"/>
              </w:rPr>
              <w:t>Nine months ended September 30, 2026 and 2025</w:t>
            </w: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Stockholders’ Equity-</w:t>
            </w: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060" w:type="dxa"/>
            <w:vAlign w:val="bottom"/>
            <w:tcBorders>
              <w:top w:val="single" w:sz="8" w:color="0000FF"/>
            </w:tcBorders>
            <w:gridSpan w:val="17"/>
          </w:tcPr>
          <w:p>
            <w:pPr>
              <w:ind w:left="80"/>
              <w:spacing w:after="0"/>
              <w:rPr>
                <w:sz w:val="20"/>
                <w:szCs w:val="20"/>
                <w:color w:val="auto"/>
              </w:rPr>
            </w:pPr>
            <w:r>
              <w:rPr>
                <w:rFonts w:ascii="Times New Roman" w:cs="Times New Roman" w:eastAsia="Times New Roman" w:hAnsi="Times New Roman"/>
                <w:sz w:val="18"/>
                <w:szCs w:val="18"/>
                <w:color w:val="auto"/>
              </w:rPr>
              <w:t>Three months and nine months ended September 30, 2026 and 2025</w:t>
            </w: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20" w:type="dxa"/>
            <w:vAlign w:val="bottom"/>
            <w:tcBorders>
              <w:bottom w:val="single" w:sz="8" w:color="0000EE"/>
            </w:tcBorders>
          </w:tcPr>
          <w:p>
            <w:pPr>
              <w:spacing w:after="0"/>
              <w:rPr>
                <w:sz w:val="24"/>
                <w:szCs w:val="24"/>
                <w:color w:val="auto"/>
              </w:rPr>
            </w:pPr>
          </w:p>
        </w:tc>
        <w:tc>
          <w:tcPr>
            <w:tcW w:w="4260" w:type="dxa"/>
            <w:vAlign w:val="bottom"/>
            <w:gridSpan w:val="5"/>
          </w:tcPr>
          <w:p>
            <w:pPr>
              <w:spacing w:after="0"/>
              <w:rPr>
                <w:sz w:val="24"/>
                <w:szCs w:val="24"/>
                <w:color w:val="auto"/>
              </w:rPr>
            </w:pPr>
          </w:p>
        </w:tc>
        <w:tc>
          <w:tcPr>
            <w:tcW w:w="21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6540" w:type="dxa"/>
            <w:vAlign w:val="bottom"/>
            <w:tcBorders>
              <w:bottom w:val="single" w:sz="8" w:color="0000FF"/>
            </w:tcBorders>
            <w:gridSpan w:val="18"/>
          </w:tcPr>
          <w:p>
            <w:pPr>
              <w:ind w:left="10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00" w:type="dxa"/>
            <w:vAlign w:val="bottom"/>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4400" w:type="dxa"/>
            <w:vAlign w:val="bottom"/>
            <w:tcBorders>
              <w:bottom w:val="single" w:sz="8" w:color="0000FF"/>
            </w:tcBorders>
            <w:gridSpan w:val="15"/>
          </w:tcPr>
          <w:p>
            <w:pPr>
              <w:ind w:left="10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640" w:type="dxa"/>
            <w:vAlign w:val="bottom"/>
            <w:gridSpan w:val="4"/>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040" w:type="dxa"/>
            <w:vAlign w:val="bottom"/>
            <w:gridSpan w:val="19"/>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8040" w:type="dxa"/>
            <w:vAlign w:val="bottom"/>
            <w:gridSpan w:val="19"/>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6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40" w:type="dxa"/>
            <w:vAlign w:val="bottom"/>
            <w:tcBorders>
              <w:top w:val="single" w:sz="8" w:color="0000FF"/>
            </w:tcBorders>
            <w:gridSpan w:val="2"/>
          </w:tcPr>
          <w:p>
            <w:pPr>
              <w:spacing w:after="0"/>
              <w:rPr>
                <w:sz w:val="24"/>
                <w:szCs w:val="24"/>
                <w:color w:val="auto"/>
              </w:rPr>
            </w:pPr>
          </w:p>
        </w:tc>
        <w:tc>
          <w:tcPr>
            <w:tcW w:w="6620" w:type="dxa"/>
            <w:vAlign w:val="bottom"/>
            <w:gridSpan w:val="14"/>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440" w:type="dxa"/>
            <w:vAlign w:val="bottom"/>
            <w:tcBorders>
              <w:bottom w:val="single" w:sz="8" w:color="0000FF"/>
            </w:tcBorders>
            <w:gridSpan w:val="16"/>
          </w:tcPr>
          <w:p>
            <w:pPr>
              <w:ind w:left="10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600" w:type="dxa"/>
            <w:vAlign w:val="bottom"/>
            <w:gridSpan w:val="3"/>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20" w:type="dxa"/>
            <w:vAlign w:val="bottom"/>
            <w:tcBorders>
              <w:bottom w:val="single" w:sz="8" w:color="0000FF"/>
            </w:tcBorders>
            <w:gridSpan w:val="7"/>
          </w:tcPr>
          <w:p>
            <w:pPr>
              <w:ind w:left="100"/>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620" w:type="dxa"/>
            <w:vAlign w:val="bottom"/>
            <w:gridSpan w:val="12"/>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040" w:type="dxa"/>
            <w:vAlign w:val="bottom"/>
            <w:gridSpan w:val="19"/>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880" w:type="dxa"/>
            <w:vAlign w:val="bottom"/>
            <w:tcBorders>
              <w:top w:val="single" w:sz="8" w:color="0000FF"/>
            </w:tcBorders>
            <w:gridSpan w:val="6"/>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6160" w:type="dxa"/>
            <w:vAlign w:val="bottom"/>
            <w:gridSpan w:val="13"/>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1400" w:type="dxa"/>
            <w:vAlign w:val="bottom"/>
            <w:tcBorders>
              <w:top w:val="single" w:sz="8" w:color="0000FF"/>
            </w:tcBorders>
            <w:gridSpan w:val="4"/>
          </w:tcPr>
          <w:p>
            <w:pPr>
              <w:ind w:left="100"/>
              <w:spacing w:after="0"/>
              <w:rPr>
                <w:sz w:val="20"/>
                <w:szCs w:val="20"/>
                <w:color w:val="auto"/>
              </w:rPr>
            </w:pPr>
            <w:r>
              <w:rPr>
                <w:rFonts w:ascii="Times New Roman" w:cs="Times New Roman" w:eastAsia="Times New Roman" w:hAnsi="Times New Roman"/>
                <w:sz w:val="18"/>
                <w:szCs w:val="18"/>
                <w:color w:val="0000FF"/>
              </w:rPr>
              <w:t>Exhibits</w:t>
            </w:r>
          </w:p>
        </w:tc>
        <w:tc>
          <w:tcPr>
            <w:tcW w:w="6640" w:type="dxa"/>
            <w:vAlign w:val="bottom"/>
            <w:gridSpan w:val="15"/>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1200" w:type="dxa"/>
            <w:vAlign w:val="bottom"/>
            <w:tcBorders>
              <w:top w:val="single" w:sz="8" w:color="0000FF"/>
            </w:tcBorders>
            <w:gridSpan w:val="4"/>
          </w:tcPr>
          <w:p>
            <w:pPr>
              <w:ind w:left="260"/>
              <w:spacing w:after="0" w:line="164" w:lineRule="exact"/>
              <w:rPr>
                <w:sz w:val="20"/>
                <w:szCs w:val="20"/>
                <w:color w:val="auto"/>
              </w:rPr>
            </w:pPr>
            <w:r>
              <w:rPr>
                <w:rFonts w:ascii="Times New Roman" w:cs="Times New Roman" w:eastAsia="Times New Roman" w:hAnsi="Times New Roman"/>
                <w:sz w:val="18"/>
                <w:szCs w:val="18"/>
                <w:color w:val="auto"/>
              </w:rPr>
              <w:t>EX – 10.1</w:t>
            </w:r>
          </w:p>
        </w:tc>
        <w:tc>
          <w:tcPr>
            <w:tcW w:w="7340" w:type="dxa"/>
            <w:vAlign w:val="bottom"/>
            <w:gridSpan w:val="17"/>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1"/>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31.1</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1"/>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31.2</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1"/>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32.1</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1"/>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32.2</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1"/>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101</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540" w:type="dxa"/>
            <w:vAlign w:val="bottom"/>
            <w:gridSpan w:val="21"/>
          </w:tcPr>
          <w:p>
            <w:pPr>
              <w:ind w:left="260"/>
              <w:spacing w:after="0"/>
              <w:rPr>
                <w:sz w:val="20"/>
                <w:szCs w:val="20"/>
                <w:color w:val="auto"/>
              </w:rPr>
            </w:pPr>
            <w:r>
              <w:rPr>
                <w:rFonts w:ascii="Times New Roman" w:cs="Times New Roman" w:eastAsia="Times New Roman" w:hAnsi="Times New Roman"/>
                <w:sz w:val="18"/>
                <w:szCs w:val="18"/>
                <w:color w:val="auto"/>
              </w:rPr>
              <w:t>EX – 104</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440" w:type="dxa"/>
            <w:vAlign w:val="bottom"/>
            <w:gridSpan w:val="18"/>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17"/>
          </w:tcPr>
          <w:p>
            <w:pPr>
              <w:jc w:val="center"/>
              <w:ind w:left="4410"/>
              <w:spacing w:after="0"/>
              <w:rPr>
                <w:sz w:val="20"/>
                <w:szCs w:val="20"/>
                <w:color w:val="auto"/>
              </w:rPr>
            </w:pPr>
            <w:r>
              <w:rPr>
                <w:rFonts w:ascii="Times New Roman" w:cs="Times New Roman" w:eastAsia="Times New Roman" w:hAnsi="Times New Roman"/>
                <w:sz w:val="18"/>
                <w:szCs w:val="18"/>
                <w:color w:val="auto"/>
                <w:w w:val="95"/>
              </w:rPr>
              <w:t>-2-</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7760" w:type="dxa"/>
            <w:vAlign w:val="bottom"/>
            <w:gridSpan w:val="3"/>
          </w:tcPr>
          <w:p>
            <w:pPr>
              <w:jc w:val="center"/>
              <w:ind w:left="3405"/>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6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60" w:type="dxa"/>
            <w:vAlign w:val="bottom"/>
            <w:gridSpan w:val="5"/>
          </w:tcPr>
          <w:p>
            <w:pPr>
              <w:jc w:val="center"/>
              <w:ind w:left="1705"/>
              <w:spacing w:after="0"/>
              <w:rPr>
                <w:sz w:val="20"/>
                <w:szCs w:val="20"/>
                <w:color w:val="auto"/>
              </w:rPr>
            </w:pPr>
            <w:r>
              <w:rPr>
                <w:rFonts w:ascii="Times New Roman" w:cs="Times New Roman" w:eastAsia="Times New Roman" w:hAnsi="Times New Roman"/>
                <w:sz w:val="18"/>
                <w:szCs w:val="18"/>
                <w:b w:val="1"/>
                <w:bCs w:val="1"/>
                <w:color w:val="auto"/>
                <w:w w:val="99"/>
              </w:rPr>
              <w:t>CHEMED CORPORATION AND SUBSIDIARY COMPANIES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3"/>
          </w:tcPr>
          <w:p>
            <w:pPr>
              <w:jc w:val="center"/>
              <w:ind w:left="3405"/>
              <w:spacing w:after="0"/>
              <w:rPr>
                <w:sz w:val="20"/>
                <w:szCs w:val="20"/>
                <w:color w:val="auto"/>
              </w:rPr>
            </w:pPr>
            <w:r>
              <w:rPr>
                <w:rFonts w:ascii="Times New Roman" w:cs="Times New Roman" w:eastAsia="Times New Roman" w:hAnsi="Times New Roman"/>
                <w:sz w:val="18"/>
                <w:szCs w:val="18"/>
                <w:b w:val="1"/>
                <w:bCs w:val="1"/>
                <w:color w:val="auto"/>
                <w:w w:val="99"/>
              </w:rPr>
              <w:t>UNAUDITED CONSOLIDATED BALANCE SHEETS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60" w:type="dxa"/>
            <w:vAlign w:val="bottom"/>
            <w:gridSpan w:val="3"/>
          </w:tcPr>
          <w:p>
            <w:pPr>
              <w:jc w:val="center"/>
              <w:ind w:left="3425"/>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5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24"/>
                <w:szCs w:val="24"/>
                <w:color w:val="auto"/>
              </w:rPr>
            </w:pP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48,427</w:t>
            </w:r>
          </w:p>
        </w:tc>
        <w:tc>
          <w:tcPr>
            <w:tcW w:w="1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less allowances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254,861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182,575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income taxes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11,165</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38,346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26,818</w:t>
            </w:r>
          </w:p>
        </w:tc>
        <w:tc>
          <w:tcPr>
            <w:tcW w:w="0" w:type="dxa"/>
            <w:vAlign w:val="bottom"/>
          </w:tcPr>
          <w:p>
            <w:pPr>
              <w:spacing w:after="0"/>
              <w:rPr>
                <w:sz w:val="1"/>
                <w:szCs w:val="1"/>
                <w:color w:val="auto"/>
              </w:rPr>
            </w:pPr>
          </w:p>
        </w:tc>
      </w:tr>
      <w:tr>
        <w:trPr>
          <w:trHeight w:val="213"/>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365,728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302,616</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Investments of deferred compensation plans held in trust</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144,845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140,347</w:t>
            </w:r>
          </w:p>
        </w:tc>
        <w:tc>
          <w:tcPr>
            <w:tcW w:w="0" w:type="dxa"/>
            <w:vAlign w:val="bottom"/>
          </w:tcPr>
          <w:p>
            <w:pPr>
              <w:spacing w:after="0"/>
              <w:rPr>
                <w:sz w:val="1"/>
                <w:szCs w:val="1"/>
                <w:color w:val="auto"/>
              </w:rPr>
            </w:pPr>
          </w:p>
        </w:tc>
      </w:tr>
      <w:tr>
        <w:trPr>
          <w:trHeight w:val="229"/>
        </w:trPr>
        <w:tc>
          <w:tcPr>
            <w:tcW w:w="7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Properties and equipment, at cost, less accumulated depreciation of $408,486 (2025- $388,104)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216,961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205,662</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right of use asset</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144,029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131,151</w:t>
            </w:r>
          </w:p>
        </w:tc>
        <w:tc>
          <w:tcPr>
            <w:tcW w:w="0" w:type="dxa"/>
            <w:vAlign w:val="bottom"/>
          </w:tcPr>
          <w:p>
            <w:pPr>
              <w:spacing w:after="0"/>
              <w:rPr>
                <w:sz w:val="1"/>
                <w:szCs w:val="1"/>
                <w:color w:val="auto"/>
              </w:rPr>
            </w:pPr>
          </w:p>
        </w:tc>
      </w:tr>
      <w:tr>
        <w:trPr>
          <w:trHeight w:val="230"/>
        </w:trPr>
        <w:tc>
          <w:tcPr>
            <w:tcW w:w="7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Identifiable intangible assets less accumulated amortization of $77,694 (2025 - $69,432)</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78,791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82,764</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754,758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666,999</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13,327</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0" w:type="dxa"/>
            <w:vAlign w:val="bottom"/>
          </w:tcPr>
          <w:p>
            <w:pPr>
              <w:spacing w:after="0"/>
              <w:rPr>
                <w:sz w:val="1"/>
                <w:szCs w:val="1"/>
                <w:color w:val="auto"/>
              </w:rPr>
            </w:pPr>
          </w:p>
        </w:tc>
      </w:tr>
      <w:tr>
        <w:trPr>
          <w:trHeight w:val="196"/>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1,718,439</w:t>
            </w:r>
          </w:p>
        </w:tc>
        <w:tc>
          <w:tcPr>
            <w:tcW w:w="1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1,538,189</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0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65,297</w:t>
            </w:r>
          </w:p>
        </w:tc>
        <w:tc>
          <w:tcPr>
            <w:tcW w:w="1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64,459</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insurance</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62,054</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89,044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58,329</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lease liability</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40,892</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58,340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58,892</w:t>
            </w:r>
          </w:p>
        </w:tc>
        <w:tc>
          <w:tcPr>
            <w:tcW w:w="0" w:type="dxa"/>
            <w:vAlign w:val="bottom"/>
          </w:tcPr>
          <w:p>
            <w:pPr>
              <w:spacing w:after="0"/>
              <w:rPr>
                <w:sz w:val="1"/>
                <w:szCs w:val="1"/>
                <w:color w:val="auto"/>
              </w:rPr>
            </w:pPr>
          </w:p>
        </w:tc>
      </w:tr>
      <w:tr>
        <w:trPr>
          <w:trHeight w:val="213"/>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330,934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287,130</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142,421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136,139</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236,000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lease liability</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114,985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102,867</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18,855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13,823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13,335</w:t>
            </w:r>
          </w:p>
        </w:tc>
        <w:tc>
          <w:tcPr>
            <w:tcW w:w="0" w:type="dxa"/>
            <w:vAlign w:val="bottom"/>
          </w:tcPr>
          <w:p>
            <w:pPr>
              <w:spacing w:after="0"/>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857,018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558,784</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Capital stock - authorized 80,000,000 shares $1 par; issued 37,762,302 shares (2025 - 37,594,676 shares)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Paid-in capital</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1,693,508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1,592,197</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3,135,794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2,955,375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Treasury stock - 24,802,346 shares (2025 - 23,884,187 shares)</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(4,008,128)</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(3,608,117)</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compensation payable in Company stock</w:t>
            </w:r>
          </w:p>
        </w:tc>
        <w:tc>
          <w:tcPr>
            <w:tcW w:w="2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2,485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0" w:type="dxa"/>
            <w:vAlign w:val="bottom"/>
          </w:tcPr>
          <w:p>
            <w:pPr>
              <w:spacing w:after="0"/>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861,421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979,405</w:t>
            </w:r>
          </w:p>
        </w:tc>
        <w:tc>
          <w:tcPr>
            <w:tcW w:w="0" w:type="dxa"/>
            <w:vAlign w:val="bottom"/>
          </w:tcPr>
          <w:p>
            <w:pPr>
              <w:spacing w:after="0"/>
              <w:rPr>
                <w:sz w:val="1"/>
                <w:szCs w:val="1"/>
                <w:color w:val="auto"/>
              </w:rPr>
            </w:pPr>
          </w:p>
        </w:tc>
      </w:tr>
      <w:tr>
        <w:trPr>
          <w:trHeight w:val="196"/>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1,718,439</w:t>
            </w:r>
          </w:p>
        </w:tc>
        <w:tc>
          <w:tcPr>
            <w:tcW w:w="1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1,538,189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60" w:type="dxa"/>
            <w:vAlign w:val="bottom"/>
          </w:tcPr>
          <w:p>
            <w:pPr>
              <w:spacing w:after="0"/>
              <w:rPr>
                <w:sz w:val="17"/>
                <w:szCs w:val="17"/>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1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690,940</w:t>
            </w:r>
          </w:p>
        </w:tc>
        <w:tc>
          <w:tcPr>
            <w:tcW w:w="180" w:type="dxa"/>
            <w:vAlign w:val="bottom"/>
          </w:tcPr>
          <w:p>
            <w:pPr>
              <w:spacing w:after="0"/>
              <w:rPr>
                <w:sz w:val="18"/>
                <w:szCs w:val="18"/>
                <w:color w:val="auto"/>
              </w:rPr>
            </w:pPr>
          </w:p>
        </w:tc>
        <w:tc>
          <w:tcPr>
            <w:tcW w:w="118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624,900</w:t>
            </w:r>
          </w:p>
        </w:tc>
        <w:tc>
          <w:tcPr>
            <w:tcW w:w="8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2,021,704</w:t>
            </w:r>
          </w:p>
        </w:tc>
        <w:tc>
          <w:tcPr>
            <w:tcW w:w="180" w:type="dxa"/>
            <w:vAlign w:val="bottom"/>
          </w:tcPr>
          <w:p>
            <w:pPr>
              <w:spacing w:after="0"/>
              <w:rPr>
                <w:sz w:val="18"/>
                <w:szCs w:val="18"/>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1,890,641</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 (excluding</w:t>
            </w:r>
          </w:p>
        </w:tc>
        <w:tc>
          <w:tcPr>
            <w:tcW w:w="1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457,978</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1,351,507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1,289,778</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111,469</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340,993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311,685</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14,427</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42,997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40,798</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2,974</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7,670</w:t>
            </w:r>
          </w:p>
        </w:tc>
        <w:tc>
          <w:tcPr>
            <w:tcW w:w="1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7,740</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209"/>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594,518</w:t>
            </w: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550,150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1,751,500</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1,653,049</w:t>
            </w:r>
          </w:p>
        </w:tc>
        <w:tc>
          <w:tcPr>
            <w:tcW w:w="0" w:type="dxa"/>
            <w:vAlign w:val="bottom"/>
          </w:tcPr>
          <w:p>
            <w:pPr>
              <w:spacing w:after="0"/>
              <w:rPr>
                <w:sz w:val="1"/>
                <w:szCs w:val="1"/>
                <w:color w:val="auto"/>
              </w:rPr>
            </w:pPr>
          </w:p>
        </w:tc>
      </w:tr>
      <w:tr>
        <w:trPr>
          <w:trHeight w:val="217"/>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from operations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96,422</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270,204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237,592</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4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(2,097)</w:t>
            </w:r>
          </w:p>
        </w:tc>
        <w:tc>
          <w:tcPr>
            <w:tcW w:w="11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(4,398)</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2,383</w:t>
            </w:r>
          </w:p>
        </w:tc>
        <w:tc>
          <w:tcPr>
            <w:tcW w:w="1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11,071</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13,970</w:t>
            </w:r>
          </w:p>
        </w:tc>
        <w:tc>
          <w:tcPr>
            <w:tcW w:w="0" w:type="dxa"/>
            <w:vAlign w:val="bottom"/>
          </w:tcPr>
          <w:p>
            <w:pPr>
              <w:spacing w:after="0"/>
              <w:rPr>
                <w:sz w:val="1"/>
                <w:szCs w:val="1"/>
                <w:color w:val="auto"/>
              </w:rPr>
            </w:pPr>
          </w:p>
        </w:tc>
      </w:tr>
      <w:tr>
        <w:trPr>
          <w:trHeight w:val="217"/>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96,708</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276,877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250,333</w:t>
            </w: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(25,060)</w:t>
            </w:r>
          </w:p>
        </w:tc>
        <w:tc>
          <w:tcPr>
            <w:tcW w:w="1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(71,224)</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(61,846)</w:t>
            </w:r>
          </w:p>
        </w:tc>
        <w:tc>
          <w:tcPr>
            <w:tcW w:w="0" w:type="dxa"/>
            <w:vAlign w:val="bottom"/>
          </w:tcPr>
          <w:p>
            <w:pPr>
              <w:spacing w:after="0"/>
              <w:rPr>
                <w:sz w:val="1"/>
                <w:szCs w:val="1"/>
                <w:color w:val="auto"/>
              </w:rPr>
            </w:pPr>
          </w:p>
        </w:tc>
      </w:tr>
      <w:tr>
        <w:trPr>
          <w:trHeight w:val="196"/>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180" w:type="dxa"/>
            <w:vAlign w:val="bottom"/>
          </w:tcPr>
          <w:p>
            <w:pPr>
              <w:spacing w:after="0"/>
              <w:rPr>
                <w:sz w:val="17"/>
                <w:szCs w:val="17"/>
                <w:color w:val="auto"/>
              </w:rPr>
            </w:pPr>
          </w:p>
        </w:tc>
        <w:tc>
          <w:tcPr>
            <w:tcW w:w="118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8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180" w:type="dxa"/>
            <w:vAlign w:val="bottom"/>
          </w:tcPr>
          <w:p>
            <w:pPr>
              <w:spacing w:after="0"/>
              <w:rPr>
                <w:sz w:val="17"/>
                <w:szCs w:val="17"/>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5.49</w:t>
            </w:r>
          </w:p>
        </w:tc>
        <w:tc>
          <w:tcPr>
            <w:tcW w:w="180" w:type="dxa"/>
            <w:vAlign w:val="bottom"/>
          </w:tcPr>
          <w:p>
            <w:pPr>
              <w:spacing w:after="0"/>
              <w:rPr>
                <w:sz w:val="18"/>
                <w:szCs w:val="18"/>
                <w:color w:val="auto"/>
              </w:rPr>
            </w:pPr>
          </w:p>
        </w:tc>
        <w:tc>
          <w:tcPr>
            <w:tcW w:w="118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15.46</w:t>
            </w:r>
          </w:p>
        </w:tc>
        <w:tc>
          <w:tcPr>
            <w:tcW w:w="180" w:type="dxa"/>
            <w:vAlign w:val="bottom"/>
          </w:tcPr>
          <w:p>
            <w:pPr>
              <w:spacing w:after="0"/>
              <w:rPr>
                <w:sz w:val="18"/>
                <w:szCs w:val="18"/>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Average number of shares outstanding</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vMerge w:val="continue"/>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13,058</w:t>
            </w:r>
          </w:p>
        </w:tc>
        <w:tc>
          <w:tcPr>
            <w:tcW w:w="1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13,300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7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w:t>
            </w:r>
          </w:p>
        </w:tc>
        <w:tc>
          <w:tcPr>
            <w:tcW w:w="180" w:type="dxa"/>
            <w:vAlign w:val="bottom"/>
          </w:tcPr>
          <w:p>
            <w:pPr>
              <w:spacing w:after="0"/>
              <w:rPr>
                <w:sz w:val="18"/>
                <w:szCs w:val="18"/>
                <w:color w:val="auto"/>
              </w:rPr>
            </w:pPr>
          </w:p>
        </w:tc>
        <w:tc>
          <w:tcPr>
            <w:tcW w:w="118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15.43</w:t>
            </w:r>
          </w:p>
        </w:tc>
        <w:tc>
          <w:tcPr>
            <w:tcW w:w="180" w:type="dxa"/>
            <w:vAlign w:val="bottom"/>
          </w:tcPr>
          <w:p>
            <w:pPr>
              <w:spacing w:after="0"/>
              <w:rPr>
                <w:sz w:val="18"/>
                <w:szCs w:val="18"/>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Average number of shares outstanding</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60" w:type="dxa"/>
            <w:vAlign w:val="bottom"/>
            <w:vMerge w:val="continue"/>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13,135</w:t>
            </w:r>
          </w:p>
        </w:tc>
        <w:tc>
          <w:tcPr>
            <w:tcW w:w="1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13,329</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14,620</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Dividends Per Share</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60" w:type="dxa"/>
            <w:vAlign w:val="bottom"/>
            <w:vMerge w:val="continue"/>
          </w:tcPr>
          <w:p>
            <w:pPr>
              <w:spacing w:after="0"/>
              <w:rPr>
                <w:sz w:val="24"/>
                <w:szCs w:val="24"/>
                <w:color w:val="auto"/>
              </w:rPr>
            </w:pP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0.70</w:t>
            </w:r>
          </w:p>
        </w:tc>
        <w:tc>
          <w:tcPr>
            <w:tcW w:w="180" w:type="dxa"/>
            <w:vAlign w:val="bottom"/>
          </w:tcPr>
          <w:p>
            <w:pPr>
              <w:spacing w:after="0"/>
              <w:rPr>
                <w:sz w:val="24"/>
                <w:szCs w:val="24"/>
                <w:color w:val="auto"/>
              </w:rPr>
            </w:pPr>
          </w:p>
        </w:tc>
        <w:tc>
          <w:tcPr>
            <w:tcW w:w="1180" w:type="dxa"/>
            <w:vAlign w:val="bottom"/>
          </w:tcPr>
          <w:p>
            <w:pPr>
              <w:jc w:val="right"/>
              <w:ind w:right="102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80" w:type="dxa"/>
            <w:vAlign w:val="bottom"/>
          </w:tcPr>
          <w:p>
            <w:pPr>
              <w:spacing w:after="0"/>
              <w:rPr>
                <w:sz w:val="24"/>
                <w:szCs w:val="2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1.90</w:t>
            </w:r>
          </w:p>
        </w:tc>
        <w:tc>
          <w:tcPr>
            <w:tcW w:w="180" w:type="dxa"/>
            <w:vAlign w:val="bottom"/>
          </w:tcPr>
          <w:p>
            <w:pPr>
              <w:spacing w:after="0"/>
              <w:rPr>
                <w:sz w:val="24"/>
                <w:szCs w:val="24"/>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180" w:type="dxa"/>
            <w:vAlign w:val="bottom"/>
          </w:tcPr>
          <w:p>
            <w:pPr>
              <w:spacing w:after="0"/>
              <w:rPr>
                <w:sz w:val="19"/>
                <w:szCs w:val="19"/>
                <w:color w:val="auto"/>
              </w:rPr>
            </w:pP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by operating activities: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51,260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48,511</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 option expense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24,285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24,374</w:t>
            </w:r>
          </w:p>
        </w:tc>
        <w:tc>
          <w:tcPr>
            <w:tcW w:w="0" w:type="dxa"/>
            <w:vAlign w:val="bottom"/>
          </w:tcPr>
          <w:p>
            <w:pPr>
              <w:spacing w:after="0"/>
              <w:rPr>
                <w:sz w:val="1"/>
                <w:szCs w:val="1"/>
                <w:color w:val="auto"/>
              </w:rPr>
            </w:pPr>
          </w:p>
        </w:tc>
      </w:tr>
      <w:tr>
        <w:trPr>
          <w:trHeight w:val="230"/>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long-term incentive compensation</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6,784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Litigation settlements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6,000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directors' compensation</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230"/>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Benefit for deferred income taxes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(456)</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(16,259)</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30"/>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(71,304)</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(44,403)</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inventories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(205)</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30"/>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prepaid expenses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(11,528)</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accounts payable and other current liabilities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27,783</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0" w:type="dxa"/>
            <w:vAlign w:val="bottom"/>
          </w:tcPr>
          <w:p>
            <w:pPr>
              <w:spacing w:after="0"/>
              <w:rPr>
                <w:sz w:val="1"/>
                <w:szCs w:val="1"/>
                <w:color w:val="auto"/>
              </w:rPr>
            </w:pPr>
          </w:p>
        </w:tc>
      </w:tr>
      <w:tr>
        <w:trPr>
          <w:trHeight w:val="230"/>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Change in current income taxes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(7,685)</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Net change in lease assets and liabilities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(667)</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(Increase)/decrease in other assets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(9,356)</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42,048</w:t>
            </w:r>
          </w:p>
        </w:tc>
        <w:tc>
          <w:tcPr>
            <w:tcW w:w="0" w:type="dxa"/>
            <w:vAlign w:val="bottom"/>
          </w:tcPr>
          <w:p>
            <w:pPr>
              <w:spacing w:after="0"/>
              <w:rPr>
                <w:sz w:val="1"/>
                <w:szCs w:val="1"/>
                <w:color w:val="auto"/>
              </w:rPr>
            </w:pPr>
          </w:p>
        </w:tc>
      </w:tr>
      <w:tr>
        <w:trPr>
          <w:trHeight w:val="230"/>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6,772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6,355</w:t>
            </w:r>
          </w:p>
        </w:tc>
        <w:tc>
          <w:tcPr>
            <w:tcW w:w="0" w:type="dxa"/>
            <w:vAlign w:val="bottom"/>
          </w:tcPr>
          <w:p>
            <w:pPr>
              <w:spacing w:after="0"/>
              <w:rPr>
                <w:sz w:val="1"/>
                <w:szCs w:val="1"/>
                <w:color w:val="auto"/>
              </w:rPr>
            </w:pPr>
          </w:p>
        </w:tc>
      </w:tr>
      <w:tr>
        <w:trPr>
          <w:trHeight w:val="222"/>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sources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840</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210"/>
        </w:trPr>
        <w:tc>
          <w:tcPr>
            <w:tcW w:w="75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229,622</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254,739</w:t>
            </w: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(96,050)</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(51,355)</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(46,447)</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0" w:type="dxa"/>
            <w:vAlign w:val="bottom"/>
          </w:tcPr>
          <w:p>
            <w:pPr>
              <w:spacing w:after="0"/>
              <w:rPr>
                <w:sz w:val="1"/>
                <w:szCs w:val="1"/>
                <w:color w:val="auto"/>
              </w:rPr>
            </w:pPr>
          </w:p>
        </w:tc>
      </w:tr>
      <w:tr>
        <w:trPr>
          <w:trHeight w:val="22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uses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(502)</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(147,419)</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(43,389)</w:t>
            </w: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843,280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(607,280)</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(350,042)</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(256,944)</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30,281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27,152</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(25,234)</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(23,196)</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cash overdrafts payable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6,818</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stock surrendered to pay taxes on stock-based compensation</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(3,832)</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(1,349)</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(uses)/sources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(933)</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color w:val="auto"/>
              </w:rPr>
              <w:t>Net cash used by financing activities</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(108,291)</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(259,948)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(26,088)</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(48,598)</w:t>
            </w:r>
          </w:p>
        </w:tc>
        <w:tc>
          <w:tcPr>
            <w:tcW w:w="0" w:type="dxa"/>
            <w:vAlign w:val="bottom"/>
          </w:tcPr>
          <w:p>
            <w:pPr>
              <w:spacing w:after="0"/>
              <w:rPr>
                <w:sz w:val="1"/>
                <w:szCs w:val="1"/>
                <w:color w:val="auto"/>
              </w:rPr>
            </w:pPr>
          </w:p>
        </w:tc>
      </w:tr>
      <w:tr>
        <w:trPr>
          <w:trHeight w:val="22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74,515</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178,350</w:t>
            </w:r>
          </w:p>
        </w:tc>
        <w:tc>
          <w:tcPr>
            <w:tcW w:w="0" w:type="dxa"/>
            <w:vAlign w:val="bottom"/>
          </w:tcPr>
          <w:p>
            <w:pPr>
              <w:spacing w:after="0"/>
              <w:rPr>
                <w:sz w:val="1"/>
                <w:szCs w:val="1"/>
                <w:color w:val="auto"/>
              </w:rPr>
            </w:pP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12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48,427</w:t>
            </w: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129,752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ind w:left="340" w:right="178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CHEMED CORPORATION AND SUBSIDIARY COMPANIES UNAUDITED CONSOLIDATED STATEMENTS OF CHANGES IN STOCKHOLDERS' EQUITY </w:t>
      </w:r>
      <w:r>
        <w:rPr>
          <w:rFonts w:ascii="Times New Roman" w:cs="Times New Roman" w:eastAsia="Times New Roman" w:hAnsi="Times New Roman"/>
          <w:sz w:val="18"/>
          <w:szCs w:val="18"/>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2026 and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Payable in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37,613</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1,617,125</w:t>
            </w:r>
          </w:p>
        </w:tc>
        <w:tc>
          <w:tcPr>
            <w:tcW w:w="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3,073,331</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(3,900,000)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2,441</w:t>
            </w: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830,510</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Dividends paid ($0.70 per share)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(9,185)</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(9,185)</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awards and exercise of stock options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76,372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(42,188)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34,333</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Purchases of treasury stock</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(66,031)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(66,031)</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Excise tax on share repurchase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37,762</w:t>
            </w: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1,693,508</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3,135,794</w:t>
            </w:r>
          </w:p>
        </w:tc>
        <w:tc>
          <w:tcPr>
            <w:tcW w:w="1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(4,008,128)</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2,485</w:t>
            </w:r>
          </w:p>
        </w:tc>
        <w:tc>
          <w:tcPr>
            <w:tcW w:w="1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861,421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Deferred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Payable in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Paid-in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Retained</w:t>
            </w: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Company</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Stock</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Capital</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at Cost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8"/>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at June 30, 2025</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1,576,165</w:t>
            </w:r>
          </w:p>
        </w:tc>
        <w:tc>
          <w:tcPr>
            <w:tcW w:w="8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2,831,540</w:t>
            </w:r>
          </w:p>
        </w:tc>
        <w:tc>
          <w:tcPr>
            <w:tcW w:w="1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(3,249,115)</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1,198,485</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($0.60 per share)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(8,654)</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and exercise of stock options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(180,776)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(180,776)</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Excise tax on share repurchase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1,581,067</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2,887,123</w:t>
            </w:r>
          </w:p>
        </w:tc>
        <w:tc>
          <w:tcPr>
            <w:tcW w:w="1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(3,431,475)</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1,076,683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ind w:left="340" w:right="178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CHEMED CORPORATION AND SUBSIDIARY COMPANIES UNAUDITED CONSOLIDATED STATEMENTS OF CHANGES IN STOCKHOLDERS' EQUITY </w:t>
      </w:r>
      <w:r>
        <w:rPr>
          <w:rFonts w:ascii="Times New Roman" w:cs="Times New Roman" w:eastAsia="Times New Roman" w:hAnsi="Times New Roman"/>
          <w:sz w:val="18"/>
          <w:szCs w:val="18"/>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2026 and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Payable in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37,595</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1,592,197</w:t>
            </w:r>
          </w:p>
        </w:tc>
        <w:tc>
          <w:tcPr>
            <w:tcW w:w="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2,955,375</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(3,608,117)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2,355</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979,405</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Dividends paid ($1.90 per share)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(25,234)</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(25,234)</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awards and exercise of stock options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102,211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(43,670)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58,708</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Purchases of treasury stock</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(353,552)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(353,552)</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Excise tax on share repurchase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(2,657)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(2,657)</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(902)</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37,762</w:t>
            </w: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1,693,508</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3,135,794</w:t>
            </w:r>
          </w:p>
        </w:tc>
        <w:tc>
          <w:tcPr>
            <w:tcW w:w="1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(4,008,128)</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2,485</w:t>
            </w:r>
          </w:p>
        </w:tc>
        <w:tc>
          <w:tcPr>
            <w:tcW w:w="1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861,421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Deferred</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Compensation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Payable in</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Paid-in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Retained</w:t>
            </w: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Company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Stock</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Capital</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at Cost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Stock</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8"/>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37,422</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1,484,176</w:t>
            </w:r>
          </w:p>
        </w:tc>
        <w:tc>
          <w:tcPr>
            <w:tcW w:w="8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2,721,832</w:t>
            </w:r>
          </w:p>
        </w:tc>
        <w:tc>
          <w:tcPr>
            <w:tcW w:w="1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(3,126,660)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1,118,993</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($1.60 per share)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(23,196)</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(23,196)</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and exercise of stock options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(49,675)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46,472</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(253,477)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(253,477)</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Excise tax on share repurchase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1,581,067</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2,887,123</w:t>
            </w:r>
          </w:p>
        </w:tc>
        <w:tc>
          <w:tcPr>
            <w:tcW w:w="1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(3,431,475)</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6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1,076,683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used herein, the terms “We,” “Company” and “Chemed” refer to Chemed Corporation or Chemed Corporation and its consolidated subsidiaries.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of Chemed in accordance with Rule 10-01 of SEC Regulation S-</w:t>
      </w:r>
    </w:p>
    <w:p>
      <w:pPr>
        <w:spacing w:after="0" w:line="2" w:lineRule="exact"/>
        <w:rPr>
          <w:sz w:val="20"/>
          <w:szCs w:val="20"/>
          <w:color w:val="auto"/>
        </w:rPr>
      </w:pPr>
    </w:p>
    <w:p>
      <w:pPr>
        <w:jc w:val="both"/>
        <w:ind w:firstLine="8"/>
        <w:spacing w:after="0" w:line="227"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we have omitted certain disclosures required under generally accepted accounting principles in the United States (“GAAP”) for complete financial statements. The December 31, 2025 balance sheet data were derived from audited financial statements but do not include all disclosures required by GAAP. However, in our opinion, the financial statements presented herein contain all adjustments, consisting only of normal recurring adjustments, necessary to state fairly our financial position, results of operations and cash flows. The results of operations for the nine months ended September 30, 2026 are not necessarily indicative of the results that may be expected for the year ending December 31, 2026 or any other future period, and we make no representations related thereto. These financial statements are prepared on the same basis as and should be read in conjunction with the audited Consolidated Financial Statements and related Notes included in our Annual Report on Form 10-K for the year ended December 31, 2025.</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for the third quarter is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at the statutory federal rate</w:t>
            </w: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20,308</w:t>
            </w:r>
          </w:p>
        </w:tc>
        <w:tc>
          <w:tcPr>
            <w:tcW w:w="400" w:type="dxa"/>
            <w:vAlign w:val="bottom"/>
          </w:tcPr>
          <w:p>
            <w:pPr>
              <w:spacing w:after="0"/>
              <w:rPr>
                <w:sz w:val="24"/>
                <w:szCs w:val="24"/>
                <w:color w:val="auto"/>
              </w:rPr>
            </w:pPr>
          </w:p>
        </w:tc>
        <w:tc>
          <w:tcPr>
            <w:tcW w:w="1060" w:type="dxa"/>
            <w:vAlign w:val="bottom"/>
          </w:tcPr>
          <w:p>
            <w:pPr>
              <w:jc w:val="right"/>
              <w:ind w:right="90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2,685</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 tax expense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1,546</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25,060</w:t>
            </w:r>
          </w:p>
        </w:tc>
        <w:tc>
          <w:tcPr>
            <w:tcW w:w="4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25.9 </w:t>
            </w:r>
            <w:r>
              <w:rPr>
                <w:rFonts w:ascii="Times New Roman" w:cs="Times New Roman" w:eastAsia="Times New Roman" w:hAnsi="Times New Roman"/>
                <w:sz w:val="14"/>
                <w:szCs w:val="14"/>
                <w:color w:val="auto"/>
              </w:rPr>
              <w:t>%</w:t>
            </w:r>
          </w:p>
        </w:tc>
        <w:tc>
          <w:tcPr>
            <w:tcW w:w="10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income tax rate was 25.9% in the third quarter of 2026 compared to 23.1% during the third quarter of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for the first nine months is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at the statutory federal rate</w:t>
            </w: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58,144</w:t>
            </w:r>
          </w:p>
        </w:tc>
        <w:tc>
          <w:tcPr>
            <w:tcW w:w="400" w:type="dxa"/>
            <w:vAlign w:val="bottom"/>
          </w:tcPr>
          <w:p>
            <w:pPr>
              <w:spacing w:after="0"/>
              <w:rPr>
                <w:sz w:val="24"/>
                <w:szCs w:val="24"/>
                <w:color w:val="auto"/>
              </w:rPr>
            </w:pPr>
          </w:p>
        </w:tc>
        <w:tc>
          <w:tcPr>
            <w:tcW w:w="1040" w:type="dxa"/>
            <w:vAlign w:val="bottom"/>
          </w:tcPr>
          <w:p>
            <w:pPr>
              <w:jc w:val="right"/>
              <w:ind w:right="88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8,213</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 tax expense/(benefit)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1,022</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3,845</w:t>
            </w:r>
          </w:p>
        </w:tc>
        <w:tc>
          <w:tcPr>
            <w:tcW w:w="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71,224</w:t>
            </w:r>
          </w:p>
        </w:tc>
        <w:tc>
          <w:tcPr>
            <w:tcW w:w="400" w:type="dxa"/>
            <w:vAlign w:val="bottom"/>
          </w:tcPr>
          <w:p>
            <w:pPr>
              <w:spacing w:after="0"/>
              <w:rPr>
                <w:sz w:val="17"/>
                <w:szCs w:val="17"/>
                <w:color w:val="auto"/>
              </w:rPr>
            </w:pPr>
          </w:p>
        </w:tc>
        <w:tc>
          <w:tcPr>
            <w:tcW w:w="104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25.7 </w:t>
            </w:r>
            <w:r>
              <w:rPr>
                <w:rFonts w:ascii="Times New Roman" w:cs="Times New Roman" w:eastAsia="Times New Roman" w:hAnsi="Times New Roman"/>
                <w:sz w:val="14"/>
                <w:szCs w:val="14"/>
                <w:color w:val="auto"/>
              </w:rPr>
              <w:t>%</w:t>
            </w:r>
          </w:p>
        </w:tc>
        <w:tc>
          <w:tcPr>
            <w:tcW w:w="10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1200" w:firstLine="324"/>
        <w:spacing w:after="0" w:line="446" w:lineRule="auto"/>
        <w:rPr>
          <w:sz w:val="20"/>
          <w:szCs w:val="20"/>
          <w:color w:val="auto"/>
        </w:rPr>
      </w:pPr>
      <w:r>
        <w:rPr>
          <w:rFonts w:ascii="Times New Roman" w:cs="Times New Roman" w:eastAsia="Times New Roman" w:hAnsi="Times New Roman"/>
          <w:sz w:val="18"/>
          <w:szCs w:val="18"/>
          <w:color w:val="auto"/>
        </w:rPr>
        <w:t xml:space="preserve">Our effective income tax rate was 25.7% in the first nine months of 2026 compared to 24.7% during the first nine months of 2025. </w:t>
      </w:r>
      <w:r>
        <w:rPr>
          <w:rFonts w:ascii="Times New Roman" w:cs="Times New Roman" w:eastAsia="Times New Roman" w:hAnsi="Times New Roman"/>
          <w:sz w:val="18"/>
          <w:szCs w:val="18"/>
          <w:i w:val="1"/>
          <w:iCs w:val="1"/>
          <w:color w:val="auto"/>
        </w:rPr>
        <w:t>NON-CASH TRANSACTIONS</w:t>
      </w:r>
    </w:p>
    <w:p>
      <w:pPr>
        <w:jc w:val="both"/>
        <w:ind w:firstLine="648"/>
        <w:spacing w:after="0"/>
        <w:rPr>
          <w:sz w:val="20"/>
          <w:szCs w:val="20"/>
          <w:color w:val="auto"/>
        </w:rPr>
      </w:pPr>
      <w:r>
        <w:rPr>
          <w:rFonts w:ascii="Times New Roman" w:cs="Times New Roman" w:eastAsia="Times New Roman" w:hAnsi="Times New Roman"/>
          <w:sz w:val="18"/>
          <w:szCs w:val="18"/>
          <w:color w:val="auto"/>
        </w:rPr>
        <w:t>Included in the accompanying Consolidated Balance Sheets are $1.2 million and $2.1 million of capitalized property and equipment which were not paid for as of September 30, 2026 and December 31, 2025, respectively. Accrued property and equipment purchases have been excluded from capital expenditures in the accompanying Consolidated Statements of Cash Flows. There are no material non-cash amounts included in interest expense for any period presented.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 models, primarily the income approach. The significant assumptions used in developing fair values include, but are not limited to, revenue growth rates, the amount and timing of future cash flows, discount rates, useful lives, royalty rates and future tax rates. The excess of purchase price over the fair value of assets and liabilities acquired is recorded as goodwill. See Note 16 for discussion of recent acquisitions.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ESTIMATES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amounts reported in the consolidated financial statements and accompanying Notes. Actual results could differ from those estimates. Disclosures of after-tax expenses and adjustments are based on estimates of the effective income tax rates for the applicable segments.</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 Revenue from Contracts with Customers.” The standard and subsequent amendments are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 606”).</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VITAS</w:t>
      </w:r>
    </w:p>
    <w:p>
      <w:pPr>
        <w:spacing w:after="0" w:line="18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spacing w:after="0" w:line="16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 xml:space="preserve">Hospice services are provided on a daily basis and the type of service provided is determined based on a physician’s determination of each patient’s specific needs on that given day. Reimbursement rates for hospice services are on a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146"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Routine Home Care </w:t>
      </w:r>
      <w:r>
        <w:rPr>
          <w:rFonts w:ascii="Times New Roman" w:cs="Times New Roman" w:eastAsia="Times New Roman" w:hAnsi="Times New Roman"/>
          <w:sz w:val="18"/>
          <w:szCs w:val="18"/>
          <w:color w:val="auto"/>
        </w:rPr>
        <w:t>occurs when a patient receives hospice care in their home, including a nursing home setting. The routine home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158"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General Inpatient Care </w:t>
      </w:r>
      <w:r>
        <w:rPr>
          <w:rFonts w:ascii="Times New Roman" w:cs="Times New Roman" w:eastAsia="Times New Roman" w:hAnsi="Times New Roman"/>
          <w:sz w:val="18"/>
          <w:szCs w:val="18"/>
          <w:color w:val="auto"/>
        </w:rPr>
        <w:t>occurs when a patient requires services in a controlled setting for a short period of time for pain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158"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Continuous Home Care </w:t>
      </w:r>
      <w:r>
        <w:rPr>
          <w:rFonts w:ascii="Times New Roman" w:cs="Times New Roman" w:eastAsia="Times New Roman" w:hAnsi="Times New Roman"/>
          <w:sz w:val="18"/>
          <w:szCs w:val="18"/>
          <w:color w:val="auto"/>
        </w:rPr>
        <w:t>is provided to patients while at home, including a nursing home setting, during periods of crisis when intensive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care, primarily nursing care, is required in order to achieve palliation or management of acute medical symptoms. Continuous home care requires a minimum of 8 hours of care within a 24-hour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9" w:name="page10"/>
    <w:bookmarkEnd w:id="9"/>
    <w:p>
      <w:pPr>
        <w:jc w:val="both"/>
        <w:ind w:left="130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Respite Care </w:t>
      </w:r>
      <w:r>
        <w:rPr>
          <w:rFonts w:ascii="Times New Roman" w:cs="Times New Roman" w:eastAsia="Times New Roman" w:hAnsi="Times New Roman"/>
          <w:sz w:val="18"/>
          <w:szCs w:val="18"/>
          <w:color w:val="auto"/>
        </w:rPr>
        <w:t>permits a hospice patient to receive services on an inpatient basis for a short period of time in order to provide relief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5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 months after discharge.</w:t>
      </w:r>
    </w:p>
    <w:p>
      <w:pPr>
        <w:spacing w:after="0" w:line="16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for the quarters ended September 30, 2026 and 2025 was $2.5 million and $2.3 million, respectively. The cost of providing charity care for the first nine months ended September 30, 2026 and 2025 was $6.8 million and $6.7 million, respectively. The cost of charity care is included in cost of services provided and goods sold and is calculated by taking the ratio of charity care days to total days of care and multiplying by the total cost of care.</w:t>
      </w:r>
    </w:p>
    <w:p>
      <w:pPr>
        <w:spacing w:after="0" w:line="14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spacing w:after="0" w:line="16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Laws and regulations concerning government programs, including Medicare and Medicaid, are complex and subject to varying interpretation and change over time. Medicare and Medicaid programs have broad authority to audit and review compliance with such laws and regulations and impose payment suspensions or modifications when merited.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certain limitations on Medicare payments for services which are considered variable consideration, as follows:</w:t>
      </w:r>
    </w:p>
    <w:p>
      <w:pPr>
        <w:spacing w:after="0" w:line="183"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Inpatient Cap. </w:t>
      </w:r>
      <w:r>
        <w:rPr>
          <w:rFonts w:ascii="Times New Roman" w:cs="Times New Roman" w:eastAsia="Times New Roman" w:hAnsi="Times New Roman"/>
          <w:sz w:val="18"/>
          <w:szCs w:val="18"/>
          <w:color w:val="auto"/>
        </w:rPr>
        <w:t>If the number of inpatient care days any hospice program provides to Medicare beneficiaries exceeds 20% of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of hospice care such program provided to all Medicare patients for an annual period beginning September 28, the days in excess of the 20% figure may be reimbursed only at the routine homecare rate. None of VITAS’ hospice programs exceeded the payment limits on inpatient services during the nine months ended September 30, 2026 and 2025.</w:t>
      </w:r>
    </w:p>
    <w:p>
      <w:pPr>
        <w:spacing w:after="0" w:line="158"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Medicare Cap. </w:t>
      </w:r>
      <w:r>
        <w:rPr>
          <w:rFonts w:ascii="Times New Roman" w:cs="Times New Roman" w:eastAsia="Times New Roman" w:hAnsi="Times New Roman"/>
          <w:sz w:val="18"/>
          <w:szCs w:val="18"/>
          <w:color w:val="auto"/>
        </w:rPr>
        <w:t>We are also subject to a Medicare annual per-beneficiary cap (“Medicare Cap”). Compliance with the Medicare Cap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in 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September 30, 2026, all our programs except three are using the “streamlined” method.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10" w:name="page11"/>
    <w:bookmarkEnd w:id="10"/>
    <w:p>
      <w:pPr>
        <w:jc w:val="both"/>
        <w:ind w:left="1300"/>
        <w:spacing w:after="0" w:line="233" w:lineRule="auto"/>
        <w:rPr>
          <w:sz w:val="20"/>
          <w:szCs w:val="20"/>
          <w:color w:val="auto"/>
        </w:rPr>
      </w:pPr>
      <w:r>
        <w:rPr>
          <w:rFonts w:ascii="Times New Roman" w:cs="Times New Roman" w:eastAsia="Times New Roman" w:hAnsi="Times New Roman"/>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158" w:lineRule="exact"/>
        <w:rPr>
          <w:sz w:val="20"/>
          <w:szCs w:val="20"/>
          <w:color w:val="auto"/>
        </w:rPr>
      </w:pPr>
    </w:p>
    <w:p>
      <w:pPr>
        <w:jc w:val="both"/>
        <w:ind w:left="1300"/>
        <w:spacing w:after="0" w:line="231" w:lineRule="auto"/>
        <w:rPr>
          <w:sz w:val="20"/>
          <w:szCs w:val="20"/>
          <w:color w:val="auto"/>
        </w:rPr>
      </w:pPr>
      <w:r>
        <w:rPr>
          <w:rFonts w:ascii="Times New Roman" w:cs="Times New Roman" w:eastAsia="Times New Roman" w:hAnsi="Times New Roman"/>
          <w:sz w:val="18"/>
          <w:szCs w:val="18"/>
          <w:color w:val="auto"/>
        </w:rPr>
        <w:t>We actively monitor each of our hospice programs, by provider number, as to their specific admission, discharge rate and median length of stay data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spacing w:after="0" w:line="158"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quarter ended September 30, 2026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Medicare</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Medicaid</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Routine home care</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384,628</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13,206</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8,135</w:t>
            </w:r>
          </w:p>
        </w:tc>
        <w:tc>
          <w:tcPr>
            <w:tcW w:w="160" w:type="dxa"/>
            <w:vAlign w:val="bottom"/>
          </w:tcPr>
          <w:p>
            <w:pPr>
              <w:spacing w:after="0"/>
              <w:rPr>
                <w:sz w:val="19"/>
                <w:szCs w:val="19"/>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405,969</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Inpatient care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36,407</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Continuous care</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19,605</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21,159</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435,767</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16,462</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11,306</w:t>
            </w:r>
          </w:p>
        </w:tc>
        <w:tc>
          <w:tcPr>
            <w:tcW w:w="160" w:type="dxa"/>
            <w:vAlign w:val="bottom"/>
          </w:tcPr>
          <w:p>
            <w:pPr>
              <w:spacing w:after="0"/>
              <w:rPr>
                <w:sz w:val="17"/>
                <w:szCs w:val="17"/>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463,535</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other revenue - self-pay, respite care, etc.</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6,421</w:t>
            </w:r>
          </w:p>
        </w:tc>
        <w:tc>
          <w:tcPr>
            <w:tcW w:w="0" w:type="dxa"/>
            <w:vAlign w:val="bottom"/>
          </w:tcPr>
          <w:p>
            <w:pPr>
              <w:spacing w:after="0" w:line="20" w:lineRule="exact"/>
              <w:rPr>
                <w:sz w:val="1"/>
                <w:szCs w:val="1"/>
                <w:color w:val="auto"/>
              </w:rPr>
            </w:pPr>
          </w:p>
        </w:tc>
      </w:tr>
      <w:tr>
        <w:trPr>
          <w:trHeight w:val="413"/>
        </w:trPr>
        <w:tc>
          <w:tcPr>
            <w:tcW w:w="3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469,956</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Medicare cap adjustment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(828)</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Implicit price concessions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(7,743)</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Room and board, net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(3,982)</w:t>
            </w: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457,403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quarter ended September 30, 2025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color w:val="auto"/>
              </w:rPr>
              <w:t>Medicare</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color w:val="auto"/>
              </w:rPr>
              <w:t>Medicaid</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Routine home care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341,571</w:t>
            </w:r>
          </w:p>
        </w:tc>
        <w:tc>
          <w:tcPr>
            <w:tcW w:w="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w:t>
            </w:r>
          </w:p>
        </w:tc>
        <w:tc>
          <w:tcPr>
            <w:tcW w:w="18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9,230</w:t>
            </w:r>
          </w:p>
        </w:tc>
        <w:tc>
          <w:tcPr>
            <w:tcW w:w="160" w:type="dxa"/>
            <w:vAlign w:val="bottom"/>
          </w:tcPr>
          <w:p>
            <w:pPr>
              <w:spacing w:after="0"/>
              <w:rPr>
                <w:sz w:val="19"/>
                <w:szCs w:val="19"/>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362,405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Inpatient care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33,099</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Continuous care</w:t>
            </w: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18,379</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388,324</w:t>
            </w:r>
          </w:p>
        </w:tc>
        <w:tc>
          <w:tcPr>
            <w:tcW w:w="1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14,525</w:t>
            </w:r>
          </w:p>
        </w:tc>
        <w:tc>
          <w:tcPr>
            <w:tcW w:w="1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w:t>
            </w:r>
          </w:p>
        </w:tc>
        <w:tc>
          <w:tcPr>
            <w:tcW w:w="160" w:type="dxa"/>
            <w:vAlign w:val="bottom"/>
          </w:tcPr>
          <w:p>
            <w:pPr>
              <w:spacing w:after="0"/>
              <w:rPr>
                <w:sz w:val="17"/>
                <w:szCs w:val="17"/>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415,450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All other revenue - self-pay, respite care, etc.</w:t>
            </w: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0" w:type="dxa"/>
            <w:vAlign w:val="bottom"/>
          </w:tcPr>
          <w:p>
            <w:pPr>
              <w:spacing w:after="0" w:line="20" w:lineRule="exact"/>
              <w:rPr>
                <w:sz w:val="1"/>
                <w:szCs w:val="1"/>
                <w:color w:val="auto"/>
              </w:rPr>
            </w:pPr>
          </w:p>
        </w:tc>
      </w:tr>
      <w:tr>
        <w:trPr>
          <w:trHeight w:val="413"/>
        </w:trPr>
        <w:tc>
          <w:tcPr>
            <w:tcW w:w="3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421,257</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Medicare cap adjustment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Room and board,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0" w:type="dxa"/>
            <w:vAlign w:val="bottom"/>
          </w:tcPr>
          <w:p>
            <w:pPr>
              <w:spacing w:after="0"/>
              <w:rPr>
                <w:sz w:val="1"/>
                <w:szCs w:val="1"/>
                <w:color w:val="auto"/>
              </w:rPr>
            </w:pPr>
          </w:p>
        </w:tc>
      </w:tr>
      <w:tr>
        <w:trPr>
          <w:trHeight w:val="196"/>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 w:name="page12"/>
    <w:bookmarkEnd w:id="11"/>
    <w:p>
      <w:pPr>
        <w:ind w:right="600" w:firstLine="648"/>
        <w:spacing w:after="0" w:line="259" w:lineRule="auto"/>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nine months ended September 30, 2026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Medicare</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Medicaid</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Routine home care</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1,104,696</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38,761</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24,950</w:t>
            </w:r>
          </w:p>
        </w:tc>
        <w:tc>
          <w:tcPr>
            <w:tcW w:w="160" w:type="dxa"/>
            <w:vAlign w:val="bottom"/>
          </w:tcPr>
          <w:p>
            <w:pPr>
              <w:spacing w:after="0"/>
              <w:rPr>
                <w:sz w:val="19"/>
                <w:szCs w:val="19"/>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1,168,407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Inpatient care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93,837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108,006</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Continuous care</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53,980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58,689</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1,252,513</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47,823</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34,766</w:t>
            </w:r>
          </w:p>
        </w:tc>
        <w:tc>
          <w:tcPr>
            <w:tcW w:w="160" w:type="dxa"/>
            <w:vAlign w:val="bottom"/>
          </w:tcPr>
          <w:p>
            <w:pPr>
              <w:spacing w:after="0"/>
              <w:rPr>
                <w:sz w:val="17"/>
                <w:szCs w:val="17"/>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1,335,102</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other revenue - self-pay, respite care, etc.</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18,204</w:t>
            </w:r>
          </w:p>
        </w:tc>
        <w:tc>
          <w:tcPr>
            <w:tcW w:w="0" w:type="dxa"/>
            <w:vAlign w:val="bottom"/>
          </w:tcPr>
          <w:p>
            <w:pPr>
              <w:spacing w:after="0" w:line="20" w:lineRule="exact"/>
              <w:rPr>
                <w:sz w:val="1"/>
                <w:szCs w:val="1"/>
                <w:color w:val="auto"/>
              </w:rPr>
            </w:pPr>
          </w:p>
        </w:tc>
      </w:tr>
      <w:tr>
        <w:trPr>
          <w:trHeight w:val="413"/>
        </w:trPr>
        <w:tc>
          <w:tcPr>
            <w:tcW w:w="3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1,353,306</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Medicare cap adjustment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(3,703)</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Implicit price concessions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(17,663)</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Room and board, net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(11,178)</w:t>
            </w: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1,320,762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nine months ended September 30, 2025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color w:val="auto"/>
              </w:rPr>
              <w:t>Medicare</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color w:val="auto"/>
              </w:rPr>
              <w:t>Medicaid</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Routine home care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1,012,360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33,915</w:t>
            </w:r>
          </w:p>
        </w:tc>
        <w:tc>
          <w:tcPr>
            <w:tcW w:w="180" w:type="dxa"/>
            <w:vAlign w:val="bottom"/>
          </w:tcPr>
          <w:p>
            <w:pPr>
              <w:spacing w:after="0"/>
              <w:rPr>
                <w:sz w:val="19"/>
                <w:szCs w:val="19"/>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16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1,072,014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Inpatient care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86,716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100,145</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Continuous care</w:t>
            </w: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63,158</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68,222</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1,162,234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42,379</w:t>
            </w:r>
          </w:p>
        </w:tc>
        <w:tc>
          <w:tcPr>
            <w:tcW w:w="18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35,768</w:t>
            </w:r>
          </w:p>
        </w:tc>
        <w:tc>
          <w:tcPr>
            <w:tcW w:w="16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1,240,381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All other revenue - self-pay, respite care, etc.</w:t>
            </w: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0" w:type="dxa"/>
            <w:vAlign w:val="bottom"/>
          </w:tcPr>
          <w:p>
            <w:pPr>
              <w:spacing w:after="0" w:line="20" w:lineRule="exact"/>
              <w:rPr>
                <w:sz w:val="1"/>
                <w:szCs w:val="1"/>
                <w:color w:val="auto"/>
              </w:rPr>
            </w:pPr>
          </w:p>
        </w:tc>
      </w:tr>
      <w:tr>
        <w:trPr>
          <w:trHeight w:val="413"/>
        </w:trPr>
        <w:tc>
          <w:tcPr>
            <w:tcW w:w="3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1,257,279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Medicare cap adjustment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(24,786)</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Room and board,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(11,277)</w:t>
            </w:r>
          </w:p>
        </w:tc>
        <w:tc>
          <w:tcPr>
            <w:tcW w:w="0" w:type="dxa"/>
            <w:vAlign w:val="bottom"/>
          </w:tcPr>
          <w:p>
            <w:pPr>
              <w:spacing w:after="0"/>
              <w:rPr>
                <w:sz w:val="1"/>
                <w:szCs w:val="1"/>
                <w:color w:val="auto"/>
              </w:rPr>
            </w:pPr>
          </w:p>
        </w:tc>
      </w:tr>
      <w:tr>
        <w:trPr>
          <w:trHeight w:val="196"/>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1,211,341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Roto-Rooter</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Roto-Rooter provides plumbing, drain cleaning, excavation,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1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14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Short-term Core Services </w:t>
      </w:r>
      <w:r>
        <w:rPr>
          <w:rFonts w:ascii="Times New Roman" w:cs="Times New Roman" w:eastAsia="Times New Roman" w:hAnsi="Times New Roman"/>
          <w:sz w:val="18"/>
          <w:szCs w:val="18"/>
          <w:color w:val="auto"/>
        </w:rPr>
        <w:t>are plumbing, drain and sewer cleaning and excavation services. These services are provided to both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customers. The duration of services provided in this category range from a few hours to a few days. There are no significant warranty costs or on-going obligations to the customer once a service has been completed. For residential customers, payment is received at the time of job completion before the Roto-Rooter technician leaves the residence. Commercial customers may be granted credit subject to internally designated authority limits and credit check guidelines. If credit is granted, payment terms are generally 30 days or less.</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15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Water Restoration Services </w:t>
      </w:r>
      <w:r>
        <w:rPr>
          <w:rFonts w:ascii="Times New Roman" w:cs="Times New Roman" w:eastAsia="Times New Roman" w:hAnsi="Times New Roman"/>
          <w:sz w:val="18"/>
          <w:szCs w:val="18"/>
          <w:color w:val="auto"/>
        </w:rPr>
        <w:t>involve the remediation of water and humidity after a flood. These services are provided to both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customers. The duration of services provided in this category generally ranges from 3 to 5 days. There are no significant warranties or on-going obligations to the customer once service has been completed. The majority of these services are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18"/>
          <w:szCs w:val="18"/>
          <w:color w:val="auto"/>
        </w:rPr>
        <w:t>paid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pacing w:after="0" w:line="15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Roto-Rooter owns the rights to certain territories and contracts with independent third-parties to operate the territory under Roto-Rooter’s registered trademarks (“independent contractors”). Such contracts are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14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Independent contractors pay Roto-Rooter a standard fee calculated as a percentage of their cash collection from weekly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5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Roto-Rooter has licensed the rights to operate under Roto-Rooter’s registered trademarks in other territories to franchisees. Each such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day-to-day management of the business including staffing decisions, pricing of services provided and local advertising spend and placement. All performance obligations of Roto-Rooter cease at the termination of the arrangement.</w:t>
      </w:r>
    </w:p>
    <w:p>
      <w:pPr>
        <w:spacing w:after="0" w:line="14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composition of disaggregated revenue for the third quarter is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color w:val="auto"/>
              </w:rPr>
              <w:t>2025</w:t>
            </w: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Drain cleaning</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58,475</w:t>
            </w:r>
          </w:p>
        </w:tc>
        <w:tc>
          <w:tcPr>
            <w:tcW w:w="18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55,454</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Plumbing</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48,242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45,753</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Excavation</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61,249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57,102</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355</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17"/>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Subtotal - short term core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168,321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158,529</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Water restoration</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48,882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45,196</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contractors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16,867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16,871</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Franchisee fees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4,262</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w:t>
            </w:r>
          </w:p>
        </w:tc>
      </w:tr>
      <w:tr>
        <w:trPr>
          <w:trHeight w:val="217"/>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Gross revenue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239,907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226,478</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 and credit memos</w:t>
            </w:r>
          </w:p>
        </w:tc>
        <w:tc>
          <w:tcPr>
            <w:tcW w:w="1140" w:type="dxa"/>
            <w:vAlign w:val="bottom"/>
          </w:tcPr>
          <w:p>
            <w:pPr>
              <w:spacing w:after="0"/>
              <w:rPr>
                <w:sz w:val="19"/>
                <w:szCs w:val="19"/>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(6,370)</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(9,319)</w:t>
            </w:r>
          </w:p>
        </w:tc>
      </w:tr>
      <w:tr>
        <w:trPr>
          <w:trHeight w:val="196"/>
        </w:trPr>
        <w:tc>
          <w:tcPr>
            <w:tcW w:w="7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revenue</w:t>
            </w:r>
          </w:p>
        </w:tc>
        <w:tc>
          <w:tcPr>
            <w:tcW w:w="1140" w:type="dxa"/>
            <w:vAlign w:val="bottom"/>
            <w:tcBorders>
              <w:top w:val="single" w:sz="8" w:color="auto"/>
              <w:bottom w:val="single" w:sz="8" w:color="auto"/>
            </w:tcBorders>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233,537</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217,159</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disaggregated revenue for the first nine months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color w:val="auto"/>
              </w:rPr>
              <w:t>2025</w:t>
            </w: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Drain cleaning</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175,710</w:t>
            </w:r>
          </w:p>
        </w:tc>
        <w:tc>
          <w:tcPr>
            <w:tcW w:w="18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170,553</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Plumbing</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145,727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137,097</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Excavation</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186,322</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177,833</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856</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r>
      <w:tr>
        <w:trPr>
          <w:trHeight w:val="217"/>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Subtotal - short term core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508,615</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486,078</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Water restoration</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143,587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149,183</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contractors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51,751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52,682</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Franchisee fees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13,649</w:t>
            </w:r>
          </w:p>
        </w:tc>
        <w:tc>
          <w:tcPr>
            <w:tcW w:w="1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14,127</w:t>
            </w:r>
          </w:p>
        </w:tc>
      </w:tr>
      <w:tr>
        <w:trPr>
          <w:trHeight w:val="217"/>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Gross revenue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722,141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706,332</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 and credit memos</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(21,199)</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(27,032)</w:t>
            </w:r>
          </w:p>
        </w:tc>
      </w:tr>
      <w:tr>
        <w:trPr>
          <w:trHeight w:val="196"/>
        </w:trPr>
        <w:tc>
          <w:tcPr>
            <w:tcW w:w="7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revenue</w:t>
            </w:r>
          </w:p>
        </w:tc>
        <w:tc>
          <w:tcPr>
            <w:tcW w:w="1140" w:type="dxa"/>
            <w:vAlign w:val="bottom"/>
            <w:tcBorders>
              <w:top w:val="single" w:sz="8" w:color="auto"/>
              <w:bottom w:val="single" w:sz="8" w:color="auto"/>
            </w:tcBorders>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700,942</w:t>
            </w:r>
          </w:p>
        </w:tc>
        <w:tc>
          <w:tcPr>
            <w:tcW w:w="1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679,300</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Segments</w:t>
      </w:r>
    </w:p>
    <w:p>
      <w:pPr>
        <w:spacing w:after="0" w:line="18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Our segments include the VITAS segment and the Roto-Rooter segment, which comprise the structure used by our President and Chief Executive Officer, who has been determined to be our Chief Operating Decision Maker (“CODM”) to make key operating decisions and assess performance. Relative contributions of each segment to service revenues and sales for the third quarter of 2026 were 66% and 34%, respectively, compared to the third quarter of 2025 which were 65% and 35%, respectively. Relative contributions of each segment to service revenues and sales for the first nine months of 2026 were 65% and 35%, respectively, compared to the first nine months of 2025 which were 64% and 36%, respectively. The vast majority of our service revenues and sales from continuing operations are generated from business within the United States. Service revenues and sales by business segment are shown in Note 2.</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reportable segments have been defined along service lines, which is consistent with the way the businesses are managed. In determining reportable segments, the RRSC and RRC operating units of the Roto-Rooter segment have been aggregated on the basis of possessing similar operating and economic characteristics. The characteristics of these operating segments and the basis for aggregation are reviewed annually.</w:t>
      </w:r>
    </w:p>
    <w:p>
      <w:pPr>
        <w:spacing w:after="0" w:line="1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report corporate administrative expenses and unallocated investing and financing income and expense not directly related to either segment as “Corporate”. Corporate administrative expense includes the stewardship, accounting and reporting, legal, tax and other costs of operating a publicly held corporation. Corporate investing and financing income and expenses include the costs and income associated with corporate debt and investment arrangements.</w:t>
      </w:r>
    </w:p>
    <w:p>
      <w:pPr>
        <w:spacing w:after="0" w:line="14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Our CODM evaluates the segments’ operating performance based mainly on income/(loss) from operations. For each segment, the CODM compares segment income/(loss) from operations in the annual budgeting and monthly forecasting process to actual results.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ind w:right="20"/>
        <w:spacing w:after="0" w:line="251" w:lineRule="auto"/>
        <w:rPr>
          <w:sz w:val="20"/>
          <w:szCs w:val="20"/>
          <w:color w:val="auto"/>
        </w:rPr>
      </w:pPr>
      <w:r>
        <w:rPr>
          <w:rFonts w:ascii="Times New Roman" w:cs="Times New Roman" w:eastAsia="Times New Roman" w:hAnsi="Times New Roman"/>
          <w:sz w:val="18"/>
          <w:szCs w:val="18"/>
          <w:color w:val="auto"/>
        </w:rPr>
        <w:t>The CODM considers variances on a monthly basis for evaluating performance of each segment and making decisions about allocating resources to each segment.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data for the three months ended September 30, 2026 are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Reportable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Chemed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VITAS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 revenues and sales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457,403</w:t>
            </w: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233,537</w:t>
            </w:r>
          </w:p>
        </w:tc>
        <w:tc>
          <w:tcPr>
            <w:tcW w:w="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690,940</w:t>
            </w:r>
          </w:p>
        </w:tc>
        <w:tc>
          <w:tcPr>
            <w:tcW w:w="1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690,940</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services provided and goods sold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(excluding depreciation)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Wages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257,425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78,411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335,836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335,836</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Patient care 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48,205</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37,574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73,937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73,937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cost of services provided and goods sold</w:t>
            </w: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341,993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115,985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457,978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457,978</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w:t>
            </w: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Wages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23,102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39,812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44,902</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Advertising</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23,885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23,885</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Stock compensation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9,135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9,135</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6,390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30,436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33,547</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selling, general and administrative expense</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23,100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71,033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94,133</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17,336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111,469</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14,427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2,974</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7,352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7,440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7,670</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378,261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198,679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576,940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594,518</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79,142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34,858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(17,578)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96,422</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(54)</w:t>
            </w:r>
          </w:p>
        </w:tc>
        <w:tc>
          <w:tcPr>
            <w:tcW w:w="1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(199)</w:t>
            </w:r>
          </w:p>
        </w:tc>
        <w:tc>
          <w:tcPr>
            <w:tcW w:w="1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(1,898)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Intercompany interest income/(expense)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11,340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(11,340)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 net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2,383</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Income/(expense) before income taxes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85,978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39,292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125,270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(28,562)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96,708</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(20,270)</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(9,152)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(29,422)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(25,060)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40" w:type="dxa"/>
            <w:vAlign w:val="bottom"/>
            <w:vMerge w:val="continue"/>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65,708</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30,140</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95,848</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(24,200)</w:t>
            </w:r>
          </w:p>
        </w:tc>
        <w:tc>
          <w:tcPr>
            <w:tcW w:w="2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Additions to long-lived assets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7,987</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73,703</w:t>
            </w:r>
          </w:p>
        </w:tc>
        <w:tc>
          <w:tcPr>
            <w:tcW w:w="8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81,690</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81,696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Segment data for the three months ended September 30, 2025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Reportable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Chemed</w:t>
            </w:r>
          </w:p>
        </w:tc>
      </w:tr>
      <w:tr>
        <w:trPr>
          <w:trHeight w:val="243"/>
        </w:trPr>
        <w:tc>
          <w:tcPr>
            <w:tcW w:w="3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color w:val="auto"/>
              </w:rPr>
              <w:t>VITAS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color w:val="auto"/>
              </w:rPr>
              <w:t>Roto-Rooter</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Segments</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color w:val="auto"/>
              </w:rPr>
              <w:t>Consolidated</w:t>
            </w: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407,741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217,159</w:t>
            </w:r>
          </w:p>
        </w:tc>
        <w:tc>
          <w:tcPr>
            <w:tcW w:w="12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624,900</w:t>
            </w:r>
          </w:p>
        </w:tc>
        <w:tc>
          <w:tcPr>
            <w:tcW w:w="14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624,900</w:t>
            </w:r>
          </w:p>
        </w:tc>
      </w:tr>
      <w:tr>
        <w:trPr>
          <w:trHeight w:val="45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(excluding depreciation)</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Wages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312,349</w:t>
            </w:r>
          </w:p>
        </w:tc>
      </w:tr>
      <w:tr>
        <w:trPr>
          <w:trHeight w:val="22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Patient care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43,269</w:t>
            </w:r>
          </w:p>
        </w:tc>
      </w:tr>
      <w:tr>
        <w:trPr>
          <w:trHeight w:val="222"/>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35,389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34,136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69,525</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 of services provided and goods sold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425,143</w:t>
            </w:r>
          </w:p>
        </w:tc>
      </w:tr>
      <w:tr>
        <w:trPr>
          <w:trHeight w:val="44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2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Wages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44,466</w:t>
            </w:r>
          </w:p>
        </w:tc>
      </w:tr>
      <w:tr>
        <w:trPr>
          <w:trHeight w:val="22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Advertising</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19,542</w:t>
            </w:r>
          </w:p>
        </w:tc>
      </w:tr>
      <w:tr>
        <w:trPr>
          <w:trHeight w:val="230"/>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w:t>
            </w:r>
          </w:p>
        </w:tc>
      </w:tr>
      <w:tr>
        <w:trPr>
          <w:trHeight w:val="222"/>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7,576</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35,916</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selling, general and administrative expense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60,672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85,908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19,867</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105,775</w:t>
            </w:r>
          </w:p>
        </w:tc>
      </w:tr>
      <w:tr>
        <w:trPr>
          <w:trHeight w:val="44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operating expense/(income)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351,667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178,604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530,271</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550,150</w:t>
            </w:r>
          </w:p>
        </w:tc>
      </w:tr>
      <w:tr>
        <w:trPr>
          <w:trHeight w:val="21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Income/(loss) from operations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(19,879)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74,750</w:t>
            </w:r>
          </w:p>
        </w:tc>
      </w:tr>
      <w:tr>
        <w:trPr>
          <w:trHeight w:val="45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(188)</w:t>
            </w:r>
          </w:p>
        </w:tc>
        <w:tc>
          <w:tcPr>
            <w:tcW w:w="20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(269)</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Intercompany interest income/(expense)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(9,715)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9,251</w:t>
            </w:r>
          </w:p>
        </w:tc>
      </w:tr>
      <w:tr>
        <w:trPr>
          <w:trHeight w:val="21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Income/(expense) before income taxes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(20,698)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83,544</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(14,993)</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(10,407)</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(25,400)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(19,307)</w:t>
            </w:r>
          </w:p>
        </w:tc>
      </w:tr>
      <w:tr>
        <w:trPr>
          <w:trHeight w:val="196"/>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46,771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78,842</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(14,605)</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64,237</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4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long-lived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10,850</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120" w:type="dxa"/>
            <w:vAlign w:val="bottom"/>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17,489</w:t>
            </w:r>
          </w:p>
        </w:tc>
        <w:tc>
          <w:tcPr>
            <w:tcW w:w="14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w:t>
            </w: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Segment data for the first nine months ended September 30, 2026 are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Reportable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VITAS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 revenues and sales</w:t>
            </w:r>
          </w:p>
        </w:tc>
        <w:tc>
          <w:tcPr>
            <w:tcW w:w="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1,320,762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700,942</w:t>
            </w:r>
          </w:p>
        </w:tc>
        <w:tc>
          <w:tcPr>
            <w:tcW w:w="80" w:type="dxa"/>
            <w:vAlign w:val="bottom"/>
          </w:tcPr>
          <w:p>
            <w:pPr>
              <w:spacing w:after="0"/>
              <w:rPr>
                <w:sz w:val="19"/>
                <w:szCs w:val="19"/>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2,021,704</w:t>
            </w:r>
          </w:p>
        </w:tc>
        <w:tc>
          <w:tcPr>
            <w:tcW w:w="14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2,021,704</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services provided and goods sold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(excluding depreciation)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Wages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755,955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238,744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994,699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994,699</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Patient care expense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141,158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141,158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141,158</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107,613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215,650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215,650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cost of services provided and goods sold</w:t>
            </w: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1,005,150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346,357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1,351,507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1,351,507</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w:t>
            </w: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Wages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51,905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68,647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120,552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135,646</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Advertising</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67,718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67,718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67,718</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Stock compensation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31,189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31,189</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23,409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69,970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93,379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106,440</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selling, general and administrative expense</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75,314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206,335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281,649</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59,344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340,993</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17,484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25,477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42,961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42,997</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8,185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7,432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7,510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7,740</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1,105,458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586,432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1,691,890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59,610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1,751,500</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215,304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114,510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329,814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(59,610)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270,204</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(158)</w:t>
            </w:r>
          </w:p>
        </w:tc>
        <w:tc>
          <w:tcPr>
            <w:tcW w:w="1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(624)</w:t>
            </w:r>
          </w:p>
        </w:tc>
        <w:tc>
          <w:tcPr>
            <w:tcW w:w="1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(3,774)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(4,398)</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Intercompany interest income/(expense)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13,661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33,145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(33,145)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 net</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316</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10,755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11,071</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Income/(expense) before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127,736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362,651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(85,774)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276,877</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(56,088)</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(29,899)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(85,987)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14,763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(71,224)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40" w:type="dxa"/>
            <w:vAlign w:val="bottom"/>
            <w:vMerge w:val="continue"/>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178,827</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97,837</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276,664</w:t>
            </w: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(71,011)</w:t>
            </w:r>
          </w:p>
        </w:tc>
        <w:tc>
          <w:tcPr>
            <w:tcW w:w="20" w:type="dxa"/>
            <w:vAlign w:val="bottom"/>
            <w:vMerge w:val="continue"/>
          </w:tcPr>
          <w:p>
            <w:pPr>
              <w:spacing w:after="0"/>
              <w:rPr>
                <w:sz w:val="17"/>
                <w:szCs w:val="17"/>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Additions to long-lived assets</w:t>
            </w:r>
          </w:p>
        </w:tc>
        <w:tc>
          <w:tcPr>
            <w:tcW w:w="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21,309</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126,760</w:t>
            </w:r>
          </w:p>
        </w:tc>
        <w:tc>
          <w:tcPr>
            <w:tcW w:w="80" w:type="dxa"/>
            <w:vAlign w:val="bottom"/>
          </w:tcPr>
          <w:p>
            <w:pPr>
              <w:spacing w:after="0"/>
              <w:rPr>
                <w:sz w:val="24"/>
                <w:szCs w:val="24"/>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148,069</w:t>
            </w:r>
          </w:p>
        </w:tc>
        <w:tc>
          <w:tcPr>
            <w:tcW w:w="140" w:type="dxa"/>
            <w:vAlign w:val="bottom"/>
          </w:tcPr>
          <w:p>
            <w:pPr>
              <w:spacing w:after="0"/>
              <w:rPr>
                <w:sz w:val="24"/>
                <w:szCs w:val="24"/>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24"/>
                <w:szCs w:val="24"/>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Segment data for the first nine months ended September 30, 2025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Reportable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27"/>
              <w:spacing w:after="0"/>
              <w:rPr>
                <w:sz w:val="20"/>
                <w:szCs w:val="20"/>
                <w:color w:val="auto"/>
              </w:rPr>
            </w:pPr>
            <w:r>
              <w:rPr>
                <w:rFonts w:ascii="Times New Roman" w:cs="Times New Roman" w:eastAsia="Times New Roman" w:hAnsi="Times New Roman"/>
                <w:sz w:val="16"/>
                <w:szCs w:val="16"/>
                <w:color w:val="auto"/>
              </w:rPr>
              <w:t>Chemed</w:t>
            </w:r>
          </w:p>
        </w:tc>
      </w:tr>
      <w:tr>
        <w:trPr>
          <w:trHeight w:val="243"/>
        </w:trPr>
        <w:tc>
          <w:tcPr>
            <w:tcW w:w="3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color w:val="auto"/>
              </w:rPr>
              <w:t>VITAS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Roto-Rooter</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Segments</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color w:val="auto"/>
                <w:w w:val="99"/>
              </w:rPr>
              <w:t>Consolidated</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1,211,341</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679,300</w:t>
            </w: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1,890,641</w:t>
            </w:r>
          </w:p>
        </w:tc>
        <w:tc>
          <w:tcPr>
            <w:tcW w:w="100" w:type="dxa"/>
            <w:vAlign w:val="bottom"/>
          </w:tcPr>
          <w:p>
            <w:pPr>
              <w:spacing w:after="0"/>
              <w:rPr>
                <w:sz w:val="19"/>
                <w:szCs w:val="19"/>
                <w:color w:val="auto"/>
              </w:rPr>
            </w:pP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1,890,641</w:t>
            </w:r>
          </w:p>
        </w:tc>
      </w:tr>
      <w:tr>
        <w:trPr>
          <w:trHeight w:val="45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(excluding depreciation)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226,168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942,503</w:t>
            </w: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Patient care expense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124,656</w:t>
            </w:r>
          </w:p>
        </w:tc>
      </w:tr>
      <w:tr>
        <w:trPr>
          <w:trHeight w:val="222"/>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110,475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112,144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222,619</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services provided and goods sold</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951,466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338,312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1,289,778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1,289,778</w:t>
            </w:r>
          </w:p>
        </w:tc>
      </w:tr>
      <w:tr>
        <w:trPr>
          <w:trHeight w:val="44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128,433</w:t>
            </w: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Advertising</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56,654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56,654</w:t>
            </w:r>
          </w:p>
        </w:tc>
      </w:tr>
      <w:tr>
        <w:trPr>
          <w:trHeight w:val="230"/>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27,668</w:t>
            </w:r>
          </w:p>
        </w:tc>
      </w:tr>
      <w:tr>
        <w:trPr>
          <w:trHeight w:val="222"/>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63,876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89,549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9,381</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98,930</w:t>
            </w: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selling, general and administrative expense</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183,856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50,968</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311,685</w:t>
            </w:r>
          </w:p>
        </w:tc>
      </w:tr>
      <w:tr>
        <w:trPr>
          <w:trHeight w:val="44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24,899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40,798</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w:t>
            </w: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expense/(income)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1,047,423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554,622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1,602,045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1,653,049</w:t>
            </w:r>
          </w:p>
        </w:tc>
      </w:tr>
      <w:tr>
        <w:trPr>
          <w:trHeight w:val="21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Income/(loss) from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124,678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237,592</w:t>
            </w:r>
          </w:p>
        </w:tc>
      </w:tr>
      <w:tr>
        <w:trPr>
          <w:trHeight w:val="45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(394)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Intercompany interest income/(expense)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13,742</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13,970</w:t>
            </w:r>
          </w:p>
        </w:tc>
      </w:tr>
      <w:tr>
        <w:trPr>
          <w:trHeight w:val="217"/>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Income/(expense) before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136,272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250,333</w:t>
            </w: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(45,353)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(32,344)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(77,697)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(61,846)</w:t>
            </w: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103,928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238,949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(50,462)</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188,487</w:t>
            </w:r>
          </w:p>
        </w:tc>
      </w:tr>
      <w:tr>
        <w:trPr>
          <w:trHeight w:val="20"/>
        </w:trPr>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4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long-lived assets</w:t>
            </w:r>
          </w:p>
        </w:tc>
        <w:tc>
          <w:tcPr>
            <w:tcW w:w="4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22,234</w:t>
            </w: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24,825</w:t>
            </w: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47,059</w:t>
            </w:r>
          </w:p>
        </w:tc>
        <w:tc>
          <w:tcPr>
            <w:tcW w:w="100" w:type="dxa"/>
            <w:vAlign w:val="bottom"/>
          </w:tcPr>
          <w:p>
            <w:pPr>
              <w:spacing w:after="0"/>
              <w:rPr>
                <w:sz w:val="24"/>
                <w:szCs w:val="24"/>
                <w:color w:val="auto"/>
              </w:rPr>
            </w:pPr>
          </w:p>
        </w:tc>
        <w:tc>
          <w:tcPr>
            <w:tcW w:w="2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47,074</w:t>
            </w:r>
          </w:p>
        </w:tc>
      </w:tr>
      <w:tr>
        <w:trPr>
          <w:trHeight w:val="641"/>
        </w:trPr>
        <w:tc>
          <w:tcPr>
            <w:tcW w:w="54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Identifiable assets by segment are as follows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3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8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center"/>
              <w:ind w:right="27"/>
              <w:spacing w:after="0"/>
              <w:rPr>
                <w:sz w:val="20"/>
                <w:szCs w:val="20"/>
                <w:color w:val="auto"/>
              </w:rPr>
            </w:pPr>
            <w:r>
              <w:rPr>
                <w:rFonts w:ascii="Times New Roman" w:cs="Times New Roman" w:eastAsia="Times New Roman" w:hAnsi="Times New Roman"/>
                <w:sz w:val="16"/>
                <w:szCs w:val="16"/>
                <w:color w:val="auto"/>
              </w:rPr>
              <w:t>December 31,</w:t>
            </w:r>
          </w:p>
        </w:tc>
      </w:tr>
      <w:tr>
        <w:trPr>
          <w:trHeight w:val="210"/>
        </w:trPr>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tcBorders>
              <w:bottom w:val="single" w:sz="8" w:color="auto"/>
            </w:tcBorders>
          </w:tcPr>
          <w:p>
            <w:pPr>
              <w:spacing w:after="0"/>
              <w:rPr>
                <w:sz w:val="18"/>
                <w:szCs w:val="18"/>
                <w:color w:val="auto"/>
              </w:rPr>
            </w:pPr>
          </w:p>
        </w:tc>
      </w:tr>
      <w:tr>
        <w:trPr>
          <w:trHeight w:val="44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882,094</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784,927</w:t>
            </w: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652,773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528,587</w:t>
            </w:r>
          </w:p>
        </w:tc>
      </w:tr>
      <w:tr>
        <w:trPr>
          <w:trHeight w:val="217"/>
        </w:trPr>
        <w:tc>
          <w:tcPr>
            <w:tcW w:w="3840" w:type="dxa"/>
            <w:vAlign w:val="bottom"/>
          </w:tcPr>
          <w:p>
            <w:pPr>
              <w:jc w:val="right"/>
              <w:ind w:right="2239"/>
              <w:spacing w:after="0"/>
              <w:rPr>
                <w:sz w:val="20"/>
                <w:szCs w:val="20"/>
                <w:color w:val="auto"/>
              </w:rPr>
            </w:pPr>
            <w:r>
              <w:rPr>
                <w:rFonts w:ascii="Times New Roman" w:cs="Times New Roman" w:eastAsia="Times New Roman" w:hAnsi="Times New Roman"/>
                <w:sz w:val="16"/>
                <w:szCs w:val="16"/>
                <w:color w:val="auto"/>
              </w:rPr>
              <w:t>Reportable segments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1,534,867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1,313,514</w:t>
            </w:r>
          </w:p>
        </w:tc>
      </w:tr>
      <w:tr>
        <w:trPr>
          <w:trHeight w:val="222"/>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183,572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224,675</w:t>
            </w:r>
          </w:p>
        </w:tc>
      </w:tr>
      <w:tr>
        <w:trPr>
          <w:trHeight w:val="196"/>
        </w:trPr>
        <w:tc>
          <w:tcPr>
            <w:tcW w:w="3840" w:type="dxa"/>
            <w:vAlign w:val="bottom"/>
          </w:tcPr>
          <w:p>
            <w:pPr>
              <w:jc w:val="right"/>
              <w:ind w:right="2239"/>
              <w:spacing w:after="0"/>
              <w:rPr>
                <w:sz w:val="20"/>
                <w:szCs w:val="20"/>
                <w:color w:val="auto"/>
              </w:rPr>
            </w:pPr>
            <w:r>
              <w:rPr>
                <w:rFonts w:ascii="Times New Roman" w:cs="Times New Roman" w:eastAsia="Times New Roman" w:hAnsi="Times New Roman"/>
                <w:sz w:val="16"/>
                <w:szCs w:val="16"/>
                <w:color w:val="auto"/>
              </w:rPr>
              <w:t>Chemed consolidated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1,718,439</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1,538,189</w:t>
            </w:r>
          </w:p>
        </w:tc>
      </w:tr>
      <w:tr>
        <w:trPr>
          <w:trHeight w:val="20"/>
        </w:trPr>
        <w:tc>
          <w:tcPr>
            <w:tcW w:w="3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Earnings per share (“EPS”) are computed using the weighted average number of shares of capital stock outstanding. Earnings and diluted earnings per share are computed as follows (in thousands, except per share data):</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640" w:type="dxa"/>
            <w:vAlign w:val="bottom"/>
            <w:gridSpan w:val="2"/>
          </w:tcPr>
          <w:p>
            <w:pPr>
              <w:ind w:left="16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8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0" w:type="dxa"/>
            <w:vAlign w:val="bottom"/>
          </w:tcPr>
          <w:p>
            <w:pPr>
              <w:spacing w:after="0"/>
              <w:rPr>
                <w:sz w:val="1"/>
                <w:szCs w:val="1"/>
                <w:color w:val="auto"/>
              </w:rPr>
            </w:pPr>
          </w:p>
        </w:tc>
      </w:tr>
      <w:tr>
        <w:trPr>
          <w:trHeight w:val="217"/>
        </w:trPr>
        <w:tc>
          <w:tcPr>
            <w:tcW w:w="6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13,058</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Dilutive stock options</w:t>
            </w:r>
          </w:p>
        </w:tc>
        <w:tc>
          <w:tcPr>
            <w:tcW w:w="280" w:type="dxa"/>
            <w:vAlign w:val="bottom"/>
          </w:tcPr>
          <w:p>
            <w:pPr>
              <w:spacing w:after="0" w:line="20" w:lineRule="exact"/>
              <w:rPr>
                <w:sz w:val="1"/>
                <w:szCs w:val="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w:t>
            </w: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Nonvested stock awards</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Diluted earnings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18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13,135</w:t>
            </w:r>
          </w:p>
        </w:tc>
        <w:tc>
          <w:tcPr>
            <w:tcW w:w="180" w:type="dxa"/>
            <w:vAlign w:val="bottom"/>
          </w:tcPr>
          <w:p>
            <w:pPr>
              <w:spacing w:after="0"/>
              <w:rPr>
                <w:sz w:val="21"/>
                <w:szCs w:val="21"/>
                <w:color w:val="auto"/>
              </w:rPr>
            </w:pPr>
          </w:p>
        </w:tc>
        <w:tc>
          <w:tcPr>
            <w:tcW w:w="6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5.45</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Earnings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14,394</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Dilutive stock options</w:t>
            </w:r>
          </w:p>
        </w:tc>
        <w:tc>
          <w:tcPr>
            <w:tcW w:w="280" w:type="dxa"/>
            <w:vAlign w:val="bottom"/>
          </w:tcPr>
          <w:p>
            <w:pPr>
              <w:spacing w:after="0" w:line="20" w:lineRule="exact"/>
              <w:rPr>
                <w:sz w:val="1"/>
                <w:szCs w:val="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Nonvested stock awards</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Diluted earnings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14,409</w:t>
            </w:r>
          </w:p>
        </w:tc>
        <w:tc>
          <w:tcPr>
            <w:tcW w:w="180" w:type="dxa"/>
            <w:vAlign w:val="bottom"/>
          </w:tcPr>
          <w:p>
            <w:pPr>
              <w:spacing w:after="0"/>
              <w:rPr>
                <w:sz w:val="17"/>
                <w:szCs w:val="17"/>
                <w:color w:val="auto"/>
              </w:rPr>
            </w:pPr>
          </w:p>
        </w:tc>
        <w:tc>
          <w:tcPr>
            <w:tcW w:w="64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640" w:type="dxa"/>
            <w:vAlign w:val="bottom"/>
            <w:gridSpan w:val="2"/>
          </w:tcPr>
          <w:p>
            <w:pPr>
              <w:ind w:left="17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8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0" w:type="dxa"/>
            <w:vAlign w:val="bottom"/>
          </w:tcPr>
          <w:p>
            <w:pPr>
              <w:spacing w:after="0"/>
              <w:rPr>
                <w:sz w:val="1"/>
                <w:szCs w:val="1"/>
                <w:color w:val="auto"/>
              </w:rPr>
            </w:pPr>
          </w:p>
        </w:tc>
      </w:tr>
      <w:tr>
        <w:trPr>
          <w:trHeight w:val="217"/>
        </w:trPr>
        <w:tc>
          <w:tcPr>
            <w:tcW w:w="6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13,300</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15.46</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Dilutive stock options</w:t>
            </w:r>
          </w:p>
        </w:tc>
        <w:tc>
          <w:tcPr>
            <w:tcW w:w="280" w:type="dxa"/>
            <w:vAlign w:val="bottom"/>
          </w:tcPr>
          <w:p>
            <w:pPr>
              <w:spacing w:after="0" w:line="20" w:lineRule="exact"/>
              <w:rPr>
                <w:sz w:val="1"/>
                <w:szCs w:val="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Nonvested stock awards</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Diluted earnings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13,329</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15.43</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Earnings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Dilutive stock options</w:t>
            </w:r>
          </w:p>
        </w:tc>
        <w:tc>
          <w:tcPr>
            <w:tcW w:w="280" w:type="dxa"/>
            <w:vAlign w:val="bottom"/>
          </w:tcPr>
          <w:p>
            <w:pPr>
              <w:spacing w:after="0" w:line="20" w:lineRule="exact"/>
              <w:rPr>
                <w:sz w:val="1"/>
                <w:szCs w:val="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Nonvested stock awards</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Diluted earnings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14,620</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2026, there were 513,000 and 1.1 million, respectively, stock options excluded from the computation of dilutive earnings per share because they would have been anti-dilutive.</w:t>
      </w:r>
    </w:p>
    <w:p>
      <w:pPr>
        <w:spacing w:after="0" w:line="1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2025, there were 892,000 and 592,000, respectively, stock options excluded from the computation of dilutive earnings per share because they would have been anti-dilutive.</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 and Lines of Credit</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April 10, 2026, we replaced our existing credit facility (the “Prior Credit Agreement”) with a sixth amended and restated Credit Agreement (“Credit Agreement”). Terms of the Credit Agreement consist of a five-year $450.0 million revolving credit facility including $100.0 million for letters of credit. This Credit Agreement has a floating interest rate that is the secured overnight financing rate (“SOFR”) plus an additional tiered rate which varies based on our current leverage ratio. As of September 30, 2026, the interest rate is SOFR plus 100 basis points. The Credit Agreement includes an expansion feature that provides the Company the opportunity to increase its revolver by an additional $250.0 million.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long-term debt outstanding under the Credit Agreement as of September 30, 2026 is $236.0 million.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The Credit Agreement contains the following quarterly financial covenants: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6"/>
                <w:szCs w:val="16"/>
                <w:color w:val="auto"/>
              </w:rPr>
              <w:t>Description</w:t>
            </w:r>
          </w:p>
        </w:tc>
        <w:tc>
          <w:tcPr>
            <w:tcW w:w="2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Requirement</w:t>
            </w:r>
          </w:p>
        </w:tc>
      </w:tr>
      <w:tr>
        <w:trPr>
          <w:trHeight w:val="352"/>
        </w:trPr>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Leverage Ratio (Consolidated Indebtedness/Consolidated Adj. EBITDA)</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&lt; 3.50 to 1.00</w:t>
            </w:r>
          </w:p>
        </w:tc>
      </w:tr>
      <w:tr>
        <w:trPr>
          <w:trHeight w:val="351"/>
        </w:trPr>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Coverage Ratio (Consolidated Adj. EBITDA/Consolidated Interest Expense)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&gt; 3.00 to 1.00</w:t>
            </w:r>
          </w:p>
        </w:tc>
      </w:tr>
    </w:tbl>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were in compliance with all debt covenants as of September 30, 2026. We have issued $47.3 million in standby letters of credit as of September 30, 2026, mainly for insurance purposes. Issued letters of credit reduce our available credit under the Credit Agreement. As of September 30, 2026, we had approximately $166.7 million of unused lines of credit available and eligible to be drawn down under the Credit Agreement.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Operating Expense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 comprises the following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gridSpan w:val="6"/>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447"/>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settlements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7,483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240" w:type="dxa"/>
            <w:vAlign w:val="bottom"/>
          </w:tcPr>
          <w:p>
            <w:pPr>
              <w:spacing w:after="0"/>
              <w:rPr>
                <w:sz w:val="24"/>
                <w:szCs w:val="24"/>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7,483</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22"/>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other operating expenses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7,670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240" w:type="dxa"/>
            <w:vAlign w:val="bottom"/>
          </w:tcPr>
          <w:p>
            <w:pPr>
              <w:spacing w:after="0"/>
              <w:rPr>
                <w:sz w:val="17"/>
                <w:szCs w:val="17"/>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7,740</w:t>
            </w: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Other Income – Net</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80" w:type="dxa"/>
            <w:vAlign w:val="bottom"/>
          </w:tcPr>
          <w:p>
            <w:pPr>
              <w:spacing w:after="0"/>
              <w:rPr>
                <w:sz w:val="24"/>
                <w:szCs w:val="24"/>
                <w:color w:val="auto"/>
              </w:rPr>
            </w:pPr>
          </w:p>
        </w:tc>
        <w:tc>
          <w:tcPr>
            <w:tcW w:w="48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Other income – net comprises the following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2"/>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Market value adjustment on assets held in deferred compensation trust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2,077</w:t>
            </w:r>
          </w:p>
        </w:tc>
        <w:tc>
          <w:tcPr>
            <w:tcW w:w="180" w:type="dxa"/>
            <w:vAlign w:val="bottom"/>
          </w:tcPr>
          <w:p>
            <w:pPr>
              <w:spacing w:after="0"/>
              <w:rPr>
                <w:sz w:val="18"/>
                <w:szCs w:val="18"/>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9,661</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w:t>
            </w:r>
          </w:p>
        </w:tc>
        <w:tc>
          <w:tcPr>
            <w:tcW w:w="0" w:type="dxa"/>
            <w:vAlign w:val="bottom"/>
          </w:tcPr>
          <w:p>
            <w:pPr>
              <w:spacing w:after="0"/>
              <w:rPr>
                <w:sz w:val="1"/>
                <w:szCs w:val="1"/>
                <w:color w:val="auto"/>
              </w:rPr>
            </w:pPr>
          </w:p>
        </w:tc>
      </w:tr>
      <w:tr>
        <w:trPr>
          <w:trHeight w:val="227"/>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income -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2,383</w:t>
            </w:r>
          </w:p>
        </w:tc>
        <w:tc>
          <w:tcPr>
            <w:tcW w:w="180" w:type="dxa"/>
            <w:vAlign w:val="bottom"/>
          </w:tcPr>
          <w:p>
            <w:pPr>
              <w:spacing w:after="0"/>
              <w:rPr>
                <w:sz w:val="17"/>
                <w:szCs w:val="17"/>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9,251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11,071</w:t>
            </w: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13,970</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0" w:type="dxa"/>
            <w:vAlign w:val="bottom"/>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 Our leases have remaining terms of under 1 year to 12 years, some of which include options to extend the lease for up to 5 years, and some of which include options to terminate the lease within 1 year.</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purchases equipment and leases it to certain of its independent contractors. We analyzed these leases in accordance with ASC 842 and determined they are operating leases. As a result, Roto-Rooter capitalizes the equipment underlying these leases, depreciates the equipment and recognizes rental income.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have any finance leases, therefore all lease information disclosed is related to operating leases.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The components of balance sheet information related to leases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7"/>
                <w:szCs w:val="17"/>
                <w:color w:val="auto"/>
              </w:rPr>
            </w:pPr>
          </w:p>
        </w:tc>
        <w:tc>
          <w:tcPr>
            <w:tcW w:w="1760" w:type="dxa"/>
            <w:vAlign w:val="bottom"/>
          </w:tcPr>
          <w:p>
            <w:pPr>
              <w:jc w:val="right"/>
              <w:ind w:right="505"/>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0"/>
        </w:trPr>
        <w:tc>
          <w:tcPr>
            <w:tcW w:w="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500" w:type="dxa"/>
            <w:vAlign w:val="bottom"/>
            <w:gridSpan w:val="3"/>
            <w:vMerge w:val="restart"/>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33"/>
        </w:trPr>
        <w:tc>
          <w:tcPr>
            <w:tcW w:w="440" w:type="dxa"/>
            <w:vAlign w:val="bottom"/>
            <w:tcBorders>
              <w:bottom w:val="single" w:sz="8" w:color="auto"/>
            </w:tcBorders>
            <w:vMerge w:val="continue"/>
          </w:tcPr>
          <w:p>
            <w:pPr>
              <w:spacing w:after="0"/>
              <w:rPr>
                <w:sz w:val="11"/>
                <w:szCs w:val="11"/>
                <w:color w:val="auto"/>
              </w:rPr>
            </w:pPr>
          </w:p>
        </w:tc>
        <w:tc>
          <w:tcPr>
            <w:tcW w:w="6500" w:type="dxa"/>
            <w:vAlign w:val="bottom"/>
            <w:gridSpan w:val="3"/>
            <w:vMerge w:val="continue"/>
          </w:tcPr>
          <w:p>
            <w:pPr>
              <w:spacing w:after="0"/>
              <w:rPr>
                <w:sz w:val="11"/>
                <w:szCs w:val="11"/>
                <w:color w:val="auto"/>
              </w:rPr>
            </w:pPr>
          </w:p>
        </w:tc>
        <w:tc>
          <w:tcPr>
            <w:tcW w:w="480" w:type="dxa"/>
            <w:vAlign w:val="bottom"/>
            <w:gridSpan w:val="2"/>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480" w:type="dxa"/>
            <w:vAlign w:val="bottom"/>
            <w:gridSpan w:val="2"/>
            <w:vMerge w:val="continue"/>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144,029</w:t>
            </w:r>
          </w:p>
        </w:tc>
        <w:tc>
          <w:tcPr>
            <w:tcW w:w="16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131,151</w:t>
            </w:r>
          </w:p>
        </w:tc>
        <w:tc>
          <w:tcPr>
            <w:tcW w:w="0" w:type="dxa"/>
            <w:vAlign w:val="bottom"/>
          </w:tcPr>
          <w:p>
            <w:pPr>
              <w:spacing w:after="0"/>
              <w:rPr>
                <w:sz w:val="1"/>
                <w:szCs w:val="1"/>
                <w:color w:val="auto"/>
              </w:rPr>
            </w:pPr>
          </w:p>
        </w:tc>
      </w:tr>
      <w:tr>
        <w:trPr>
          <w:trHeight w:val="397"/>
        </w:trPr>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Current operating leases</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41,209</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40,892</w:t>
            </w:r>
          </w:p>
        </w:tc>
        <w:tc>
          <w:tcPr>
            <w:tcW w:w="0" w:type="dxa"/>
            <w:vAlign w:val="bottom"/>
          </w:tcPr>
          <w:p>
            <w:pPr>
              <w:spacing w:after="0"/>
              <w:rPr>
                <w:sz w:val="1"/>
                <w:szCs w:val="1"/>
                <w:color w:val="auto"/>
              </w:rPr>
            </w:pPr>
          </w:p>
        </w:tc>
      </w:tr>
      <w:tr>
        <w:trPr>
          <w:trHeight w:val="242"/>
        </w:trPr>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Noncurrent operating leases</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114,985</w:t>
            </w: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102,867</w:t>
            </w:r>
          </w:p>
        </w:tc>
        <w:tc>
          <w:tcPr>
            <w:tcW w:w="0" w:type="dxa"/>
            <w:vAlign w:val="bottom"/>
          </w:tcPr>
          <w:p>
            <w:pPr>
              <w:spacing w:after="0"/>
              <w:rPr>
                <w:sz w:val="1"/>
                <w:szCs w:val="1"/>
                <w:color w:val="auto"/>
              </w:rPr>
            </w:pPr>
          </w:p>
        </w:tc>
      </w:tr>
      <w:tr>
        <w:trPr>
          <w:trHeight w:val="197"/>
        </w:trPr>
        <w:tc>
          <w:tcPr>
            <w:tcW w:w="69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156,194</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5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The components of lease expense for the third quarter are as follows (in thousands):</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0" w:type="dxa"/>
            <w:vAlign w:val="bottom"/>
          </w:tcPr>
          <w:p>
            <w:pPr>
              <w:spacing w:after="0"/>
              <w:rPr>
                <w:sz w:val="24"/>
                <w:szCs w:val="24"/>
                <w:color w:val="auto"/>
              </w:rPr>
            </w:pPr>
          </w:p>
        </w:tc>
        <w:tc>
          <w:tcPr>
            <w:tcW w:w="65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4"/>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0" w:type="dxa"/>
            <w:vAlign w:val="bottom"/>
          </w:tcPr>
          <w:p>
            <w:pPr>
              <w:spacing w:after="0"/>
              <w:rPr>
                <w:sz w:val="1"/>
                <w:szCs w:val="1"/>
                <w:color w:val="auto"/>
              </w:rPr>
            </w:pPr>
          </w:p>
        </w:tc>
      </w:tr>
      <w:tr>
        <w:trPr>
          <w:trHeight w:val="210"/>
        </w:trPr>
        <w:tc>
          <w:tcPr>
            <w:tcW w:w="69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Expense (a)</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28"/>
        </w:trPr>
        <w:tc>
          <w:tcPr>
            <w:tcW w:w="6940" w:type="dxa"/>
            <w:vAlign w:val="bottom"/>
            <w:gridSpan w:val="4"/>
            <w:vMerge w:val="continue"/>
          </w:tcPr>
          <w:p>
            <w:pPr>
              <w:spacing w:after="0"/>
              <w:rPr>
                <w:sz w:val="11"/>
                <w:szCs w:val="11"/>
                <w:color w:val="auto"/>
              </w:rPr>
            </w:pPr>
          </w:p>
        </w:tc>
        <w:tc>
          <w:tcPr>
            <w:tcW w:w="480" w:type="dxa"/>
            <w:vAlign w:val="bottom"/>
            <w:gridSpan w:val="2"/>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480" w:type="dxa"/>
            <w:vAlign w:val="bottom"/>
            <w:gridSpan w:val="2"/>
            <w:vMerge w:val="continue"/>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17,682</w:t>
            </w:r>
          </w:p>
        </w:tc>
        <w:tc>
          <w:tcPr>
            <w:tcW w:w="16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17,359</w:t>
            </w:r>
          </w:p>
        </w:tc>
        <w:tc>
          <w:tcPr>
            <w:tcW w:w="0" w:type="dxa"/>
            <w:vAlign w:val="bottom"/>
          </w:tcPr>
          <w:p>
            <w:pPr>
              <w:spacing w:after="0"/>
              <w:rPr>
                <w:sz w:val="1"/>
                <w:szCs w:val="1"/>
                <w:color w:val="auto"/>
              </w:rPr>
            </w:pPr>
          </w:p>
        </w:tc>
      </w:tr>
      <w:tr>
        <w:trPr>
          <w:trHeight w:val="242"/>
        </w:trPr>
        <w:tc>
          <w:tcPr>
            <w:tcW w:w="6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w:t>
            </w: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23"/>
        </w:trPr>
        <w:tc>
          <w:tcPr>
            <w:tcW w:w="694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Net lease expense</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17,664</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for the first nine months are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420" w:type="dxa"/>
            <w:vAlign w:val="bottom"/>
            <w:tcBorders>
              <w:bottom w:val="single" w:sz="8" w:color="auto"/>
            </w:tcBorders>
            <w:gridSpan w:val="4"/>
          </w:tcPr>
          <w:p>
            <w:pPr>
              <w:jc w:val="center"/>
              <w:ind w:left="54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Expense (a)</w:t>
            </w:r>
          </w:p>
        </w:tc>
        <w:tc>
          <w:tcPr>
            <w:tcW w:w="2800" w:type="dxa"/>
            <w:vAlign w:val="bottom"/>
          </w:tcPr>
          <w:p>
            <w:pPr>
              <w:spacing w:after="0"/>
              <w:rPr>
                <w:sz w:val="18"/>
                <w:szCs w:val="18"/>
                <w:color w:val="auto"/>
              </w:rPr>
            </w:pPr>
          </w:p>
        </w:tc>
        <w:tc>
          <w:tcPr>
            <w:tcW w:w="12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380" w:type="dxa"/>
            <w:vAlign w:val="bottom"/>
            <w:gridSpan w:val="2"/>
            <w:vMerge w:val="continue"/>
          </w:tcPr>
          <w:p>
            <w:pPr>
              <w:spacing w:after="0"/>
              <w:rPr>
                <w:sz w:val="11"/>
                <w:szCs w:val="11"/>
                <w:color w:val="auto"/>
              </w:rPr>
            </w:pPr>
          </w:p>
        </w:tc>
        <w:tc>
          <w:tcPr>
            <w:tcW w:w="4020" w:type="dxa"/>
            <w:vAlign w:val="bottom"/>
            <w:gridSpan w:val="2"/>
            <w:vMerge w:val="restart"/>
          </w:tcPr>
          <w:p>
            <w:pPr>
              <w:jc w:val="right"/>
              <w:ind w:right="1087"/>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vMerge w:val="restart"/>
          </w:tcPr>
          <w:p>
            <w:pPr>
              <w:jc w:val="center"/>
              <w:ind w:right="128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2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4020" w:type="dxa"/>
            <w:vAlign w:val="bottom"/>
            <w:gridSpan w:val="2"/>
            <w:vMerge w:val="continue"/>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52,307</w:t>
            </w:r>
          </w:p>
        </w:tc>
        <w:tc>
          <w:tcPr>
            <w:tcW w:w="160" w:type="dxa"/>
            <w:vAlign w:val="bottom"/>
          </w:tcPr>
          <w:p>
            <w:pPr>
              <w:spacing w:after="0"/>
              <w:rPr>
                <w:sz w:val="23"/>
                <w:szCs w:val="23"/>
                <w:color w:val="auto"/>
              </w:rPr>
            </w:pPr>
          </w:p>
        </w:tc>
        <w:tc>
          <w:tcPr>
            <w:tcW w:w="1440" w:type="dxa"/>
            <w:vAlign w:val="bottom"/>
            <w:vMerge w:val="continue"/>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50,945</w:t>
            </w:r>
          </w:p>
        </w:tc>
        <w:tc>
          <w:tcPr>
            <w:tcW w:w="0" w:type="dxa"/>
            <w:vAlign w:val="bottom"/>
          </w:tcPr>
          <w:p>
            <w:pPr>
              <w:spacing w:after="0"/>
              <w:rPr>
                <w:sz w:val="1"/>
                <w:szCs w:val="1"/>
                <w:color w:val="auto"/>
              </w:rPr>
            </w:pPr>
          </w:p>
        </w:tc>
      </w:tr>
      <w:tr>
        <w:trPr>
          <w:trHeight w:val="242"/>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2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w:t>
            </w:r>
          </w:p>
        </w:tc>
        <w:tc>
          <w:tcPr>
            <w:tcW w:w="1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0"/>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lease expense</w:t>
            </w:r>
          </w:p>
        </w:tc>
        <w:tc>
          <w:tcPr>
            <w:tcW w:w="280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0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52,233</w:t>
            </w:r>
          </w:p>
        </w:tc>
        <w:tc>
          <w:tcPr>
            <w:tcW w:w="16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center"/>
              <w:ind w:right="1285"/>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50,851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short-term leases and variable lease costs, which are immaterial. Included in both cost of services provided and goods sold and selling, general and administrative expenses.</w:t>
      </w:r>
    </w:p>
    <w:p>
      <w:pPr>
        <w:spacing w:after="0" w:line="31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components of cash flows information related to leases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4"/>
          </w:tcPr>
          <w:p>
            <w:pPr>
              <w:jc w:val="right"/>
              <w:ind w:right="102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9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28"/>
        </w:trPr>
        <w:tc>
          <w:tcPr>
            <w:tcW w:w="5760" w:type="dxa"/>
            <w:vAlign w:val="bottom"/>
            <w:gridSpan w:val="5"/>
            <w:vMerge w:val="continue"/>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484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Operating cash flows from leases</w:t>
            </w:r>
          </w:p>
        </w:tc>
        <w:tc>
          <w:tcPr>
            <w:tcW w:w="920" w:type="dxa"/>
            <w:vAlign w:val="bottom"/>
          </w:tcPr>
          <w:p>
            <w:pPr>
              <w:spacing w:after="0"/>
              <w:rPr>
                <w:sz w:val="22"/>
                <w:szCs w:val="22"/>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42,893</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41,516</w:t>
            </w:r>
          </w:p>
        </w:tc>
        <w:tc>
          <w:tcPr>
            <w:tcW w:w="0" w:type="dxa"/>
            <w:vAlign w:val="bottom"/>
          </w:tcPr>
          <w:p>
            <w:pPr>
              <w:spacing w:after="0"/>
              <w:rPr>
                <w:sz w:val="1"/>
                <w:szCs w:val="1"/>
                <w:color w:val="auto"/>
              </w:rPr>
            </w:pPr>
          </w:p>
        </w:tc>
      </w:tr>
      <w:tr>
        <w:trPr>
          <w:trHeight w:val="415"/>
        </w:trPr>
        <w:tc>
          <w:tcPr>
            <w:tcW w:w="5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Leased assets obtained in exchange for new operating lease liabilities</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51,761</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37,752</w:t>
            </w:r>
          </w:p>
        </w:tc>
        <w:tc>
          <w:tcPr>
            <w:tcW w:w="0" w:type="dxa"/>
            <w:vAlign w:val="bottom"/>
          </w:tcPr>
          <w:p>
            <w:pPr>
              <w:spacing w:after="0"/>
              <w:rPr>
                <w:sz w:val="1"/>
                <w:szCs w:val="1"/>
                <w:color w:val="auto"/>
              </w:rPr>
            </w:pPr>
          </w:p>
        </w:tc>
      </w:tr>
      <w:tr>
        <w:trPr>
          <w:trHeight w:val="857"/>
        </w:trPr>
        <w:tc>
          <w:tcPr>
            <w:tcW w:w="4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at September 30, 2026</w:t>
            </w:r>
          </w:p>
        </w:tc>
        <w:tc>
          <w:tcPr>
            <w:tcW w:w="10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4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1280" w:type="dxa"/>
            <w:vAlign w:val="bottom"/>
            <w:gridSpan w:val="3"/>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4.84 years</w:t>
            </w:r>
          </w:p>
        </w:tc>
        <w:tc>
          <w:tcPr>
            <w:tcW w:w="0" w:type="dxa"/>
            <w:vAlign w:val="bottom"/>
          </w:tcPr>
          <w:p>
            <w:pPr>
              <w:spacing w:after="0"/>
              <w:rPr>
                <w:sz w:val="1"/>
                <w:szCs w:val="1"/>
                <w:color w:val="auto"/>
              </w:rPr>
            </w:pPr>
          </w:p>
        </w:tc>
      </w:tr>
      <w:tr>
        <w:trPr>
          <w:trHeight w:val="57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 at September 30, 2026</w:t>
            </w:r>
          </w:p>
        </w:tc>
        <w:tc>
          <w:tcPr>
            <w:tcW w:w="190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Maturity of Operating Lease Liabilities (in thousands)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8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2026</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14,223</w:t>
            </w:r>
          </w:p>
        </w:tc>
      </w:tr>
      <w:tr>
        <w:trPr>
          <w:trHeight w:val="210"/>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46,546</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36,109</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29,621</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2030</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21,667</w:t>
            </w:r>
          </w:p>
        </w:tc>
      </w:tr>
      <w:tr>
        <w:trPr>
          <w:trHeight w:val="243"/>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8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26,446</w:t>
            </w:r>
          </w:p>
        </w:tc>
      </w:tr>
      <w:tr>
        <w:trPr>
          <w:trHeight w:val="216"/>
        </w:trPr>
        <w:tc>
          <w:tcPr>
            <w:tcW w:w="8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lease payments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174,612</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8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(18,418)</w:t>
            </w:r>
          </w:p>
        </w:tc>
      </w:tr>
      <w:tr>
        <w:trPr>
          <w:trHeight w:val="203"/>
        </w:trPr>
        <w:tc>
          <w:tcPr>
            <w:tcW w:w="8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liability recognized on the balance sheet</w:t>
            </w: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156,194</w:t>
            </w:r>
          </w:p>
        </w:tc>
      </w:tr>
      <w:tr>
        <w:trPr>
          <w:trHeight w:val="20"/>
        </w:trPr>
        <w:tc>
          <w:tcPr>
            <w:tcW w:w="8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leases commencing prior to April 2019, minimum rental payments exclude payments to landlords for real estate taxes and common area maintenance. Operating lease payments include $10.6 million related to extended lease terms that are reasonably certain of being exercised and exclude $3.4 million of lease payments for leases signed but not yet commenced.</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Stock-Based Compensation Plans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February 13, 2026, the Compensation/Incentive Committee of the Board of Directors (“CIC”) granted 8,400 Performance Stock Units (“PSUs”) that vest contingent upon the achievement of certain total shareholder return (“TSR”) targets as compared to the TSR of a group of peer companies for the three-year period ending December 31, 2028, the date at which such awards vest. The cumulative compensation cost of the TSR-based PSU award to be recorded over the three-year service period is $5.2 million.</w:t>
      </w:r>
    </w:p>
    <w:p>
      <w:pPr>
        <w:spacing w:after="0" w:line="1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February 13, 2026, the CIC also granted 8,400 PSUs that vest contingent upon the achievement of certain earnings per share (“EPS”) targets for the three-year period ending December 31, 2028. At the end of each reporting period, the Company estimates the number of shares that it believes will ultimately be earned and records the corresponding expense over the service period of the award. We currently estimate the cumulative compensation cost of the EPS-based PSUs to be recorded over the three-year service period is $3.9 million.</w:t>
      </w:r>
    </w:p>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All of the Company’s plans that provide retirement and similar benefits are defined contribution plans. These expenses include the impact of market gains and losses on assets held in deferred compensation plans and are recorded in selling, general and administrative expenses. Net gains for the Company’s retirement and profit-sharing plans, excess benefit plans and other similar plans are as follows (in thousands):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40" w:type="dxa"/>
            <w:vAlign w:val="bottom"/>
            <w:tcBorders>
              <w:bottom w:val="single" w:sz="8" w:color="auto"/>
            </w:tcBorders>
          </w:tcPr>
          <w:p>
            <w:pPr>
              <w:spacing w:after="0"/>
              <w:rPr>
                <w:sz w:val="17"/>
                <w:szCs w:val="17"/>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6"/>
                <w:szCs w:val="16"/>
                <w:color w:val="auto"/>
              </w:rPr>
              <w:t>2025</w:t>
            </w:r>
          </w:p>
        </w:tc>
      </w:tr>
      <w:tr>
        <w:trPr>
          <w:trHeight w:val="186"/>
        </w:trPr>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6,721</w:t>
            </w:r>
          </w:p>
        </w:tc>
        <w:tc>
          <w:tcPr>
            <w:tcW w:w="460" w:type="dxa"/>
            <w:vAlign w:val="bottom"/>
          </w:tcPr>
          <w:p>
            <w:pPr>
              <w:spacing w:after="0"/>
              <w:rPr>
                <w:sz w:val="16"/>
                <w:szCs w:val="16"/>
                <w:color w:val="auto"/>
              </w:rPr>
            </w:pPr>
          </w:p>
        </w:tc>
        <w:tc>
          <w:tcPr>
            <w:tcW w:w="1020" w:type="dxa"/>
            <w:vAlign w:val="bottom"/>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10,413</w:t>
            </w: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26,242</w:t>
            </w:r>
          </w:p>
        </w:tc>
        <w:tc>
          <w:tcPr>
            <w:tcW w:w="44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21,503</w:t>
            </w:r>
          </w:p>
        </w:tc>
      </w:tr>
    </w:tbl>
    <w:p>
      <w:pPr>
        <w:spacing w:after="0" w:line="204"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and Regulatory Matters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VITAS segment of the Company’s business operates in a heavily-regulated industry. As a result, the Company is subjected to inquiries and investigations by various government agencies, which can result in penalties including repayment obligations, funding withholding, or debarment, as well as to lawsuits, including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The following describes the material lawsuits and investigations of which the Company is currently aware.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 and Litigation</w:t>
      </w:r>
    </w:p>
    <w:p>
      <w:pPr>
        <w:spacing w:after="0" w:line="18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VITAS was one of a group of hospice providers selected by the Office of the Inspector General’s (“OIG”) Office of Audit Services (“OAS”) for inclusion in an audit of the provision of elevated level-of-care hospice services, which reviewed 100 out of a total population of 50,850 inpatient and continuous care claims.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29, 2022, VITAS received a demand letter from its Medicare Administrative Contractor (“MAC”) seeking repayment of $50.3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VITAS appealed the overpayment decision and deposited $50.3 million under the “Immediate Recoupment” process.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22" w:name="page23"/>
    <w:bookmarkEnd w:id="22"/>
    <w:p>
      <w:pPr>
        <w:jc w:val="both"/>
        <w:ind w:firstLine="648"/>
        <w:spacing w:after="0"/>
        <w:rPr>
          <w:sz w:val="20"/>
          <w:szCs w:val="20"/>
          <w:color w:val="auto"/>
        </w:rPr>
      </w:pPr>
      <w:r>
        <w:rPr>
          <w:rFonts w:ascii="Times New Roman" w:cs="Times New Roman" w:eastAsia="Times New Roman" w:hAnsi="Times New Roman"/>
          <w:sz w:val="18"/>
          <w:szCs w:val="18"/>
          <w:color w:val="auto"/>
        </w:rPr>
        <w:t>On February 3, 2025, an Administrative Law Judge (“ALJ”) ruled that VITAS’ care met Medicare’s hospice standards for the applicable higher level of care as originally billed for all but one of the claims appealed, and therefore VITAS was entitled to receive payment for all such claims. With respect to the one claim that the judge did not fully side with VITAS, the judge found that four of the five days billed met the applicable standard and only one day did not.</w:t>
      </w:r>
    </w:p>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 letter dated March 18, 2025, VITAS’ MAC provided notice that due to the ALJ’s ruling the total overpayment amount was reduced to a de minimis amount, and on April 1, 2025 refunded VITAS all previously unreturned deposited amounts in excess of that dollar figure.</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a result of the previously disclosed cybersecurity incident and data breach on October 24, 2025, multiple class action lawsuits were filed against VITAS alleging various causes of action and seeking damages resulting from the breach. All outstanding cases were consolidated and the Company has reached an agreement to settle them for a non-material amount fully covered by VITAS’ cybersecurity insurance.</w:t>
      </w:r>
    </w:p>
    <w:p>
      <w:pPr>
        <w:spacing w:after="0" w:line="15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Regardless of the outcome of the preceding matters, dealing with the various regulatory agencies and opposing parties can adversely affect us through defense costs, potential payments, withholding of governmental funding, diversion of management time, and related publicity.</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Concentration of Risk</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of September 30, 2026, and December 31, 2025, approximately 72% and 58%, respectively, of VITAS’ total accounts receivable balance were from Medicare and 25% and 34% respectively, of VITAS’ total accounts receivable balance were due from various state Medicaid or managed Medicaid programs. Combined accounts receivable from Medicare, Medicaid, and managed Medicaid represent approximately 81% of the consolidated net accounts receivable in the accompanying consolidated balance sheets as of September 30, 2026.</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VITAS has a pharmacy services contract with one service provider for specified pharmacy services related to its hospice operations. Similarly, VITAS obtains the majority of its medical supplies from a single vendor. A large majority of VITAS’ pharmaceutical and medical supplies purchases are from these vendors. The pharmaceutical and medical supplies purchased by VITAS are available through many providers in the United States. However, a disruption from VITAS’ main service providers could adversely impact VITAS’ operations, including temporary logistical challenges and increased cost associated with getting medication and medical supplies to our patients.</w:t>
      </w:r>
    </w:p>
    <w:p>
      <w:pPr>
        <w:spacing w:after="0" w:line="14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Cash Overdrafts and Cash Equivalents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$17.8 million in cash overdrafts payable included in accounts payable at September 30, 2026. There were $11.0 million of cash overdrafts payable included in accounts payable at December 31, 2025.</w:t>
      </w:r>
    </w:p>
    <w:p>
      <w:pPr>
        <w:spacing w:after="0" w:line="12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From time to time throughout the year, we invest excess cash in money market funds with major commercial banks. We closely monitor the creditworthiness of the institutions with which we invest our overnight funds. In 2023, Chemed began investing excess cash in money market funds holding US Treasuries. Deposits and withdrawals are made daily, based on the Company’s excess cash balance. There are no penalties associated with withdrawals. The accounts bear interest at a normal market rate.</w:t>
      </w:r>
    </w:p>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FASB’s authoritative guidance on fair value measurements defines a hierarchy which prioritizes the inputs in fair value measurements. Level 1 measurements are measurements using quoted prices in active markets for identical assets or liabilities. Level 2 measurements use significant other observable inputs. Level 3 measurements are measurements using significant unobservable inputs which require a company to develop its own assumptions. In recording the fair value of assets and liabilities, companies must use the most reliable measurement available.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The following shows the carrying value, fair value, and the hierarchy for our financial instruments as of September 30, 2026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 Measure</w:t>
            </w:r>
          </w:p>
        </w:tc>
        <w:tc>
          <w:tcPr>
            <w:tcW w:w="1580" w:type="dxa"/>
            <w:vAlign w:val="bottom"/>
            <w:tcBorders>
              <w:bottom w:val="single" w:sz="8" w:color="auto"/>
            </w:tcBorders>
          </w:tcPr>
          <w:p>
            <w:pPr>
              <w:spacing w:after="0"/>
              <w:rPr>
                <w:sz w:val="17"/>
                <w:szCs w:val="17"/>
                <w:color w:val="auto"/>
              </w:rPr>
            </w:pPr>
          </w:p>
        </w:tc>
      </w:tr>
      <w:tr>
        <w:trPr>
          <w:trHeight w:val="531"/>
        </w:trPr>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6"/>
        </w:trPr>
        <w:tc>
          <w:tcPr>
            <w:tcW w:w="4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5"/>
                <w:szCs w:val="15"/>
                <w:color w:val="auto"/>
              </w:rPr>
            </w:pPr>
          </w:p>
        </w:tc>
        <w:tc>
          <w:tcPr>
            <w:tcW w:w="1680" w:type="dxa"/>
            <w:vAlign w:val="bottom"/>
            <w:gridSpan w:val="3"/>
          </w:tcPr>
          <w:p>
            <w:pPr>
              <w:jc w:val="center"/>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15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64"/>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4"/>
                <w:szCs w:val="14"/>
                <w:color w:val="auto"/>
              </w:rPr>
            </w:pPr>
          </w:p>
        </w:tc>
        <w:tc>
          <w:tcPr>
            <w:tcW w:w="1680" w:type="dxa"/>
            <w:vAlign w:val="bottom"/>
            <w:gridSpan w:val="3"/>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16"/>
        </w:trPr>
        <w:tc>
          <w:tcPr>
            <w:tcW w:w="4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393"/>
        </w:trPr>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 of deferred compensation plans held in trust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144,845</w:t>
            </w:r>
          </w:p>
        </w:tc>
        <w:tc>
          <w:tcPr>
            <w:tcW w:w="160" w:type="dxa"/>
            <w:vAlign w:val="bottom"/>
          </w:tcPr>
          <w:p>
            <w:pPr>
              <w:spacing w:after="0"/>
              <w:rPr>
                <w:sz w:val="24"/>
                <w:szCs w:val="2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144,845</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8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shows the carrying value, fair value and the hierarchy for our financial instruments as of December 31, 2025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Fair Value Measure</w:t>
            </w:r>
          </w:p>
        </w:tc>
        <w:tc>
          <w:tcPr>
            <w:tcW w:w="1560" w:type="dxa"/>
            <w:vAlign w:val="bottom"/>
            <w:tcBorders>
              <w:bottom w:val="single" w:sz="8" w:color="auto"/>
            </w:tcBorders>
          </w:tcPr>
          <w:p>
            <w:pPr>
              <w:spacing w:after="0"/>
              <w:rPr>
                <w:sz w:val="17"/>
                <w:szCs w:val="17"/>
                <w:color w:val="auto"/>
              </w:rPr>
            </w:pPr>
          </w:p>
        </w:tc>
      </w:tr>
      <w:tr>
        <w:trPr>
          <w:trHeight w:val="439"/>
        </w:trPr>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Quoted Prices in</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5"/>
        </w:trPr>
        <w:tc>
          <w:tcPr>
            <w:tcW w:w="4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rPr>
              <w:t>Active Markets for</w:t>
            </w:r>
          </w:p>
        </w:tc>
        <w:tc>
          <w:tcPr>
            <w:tcW w:w="140" w:type="dxa"/>
            <w:vAlign w:val="bottom"/>
          </w:tcPr>
          <w:p>
            <w:pPr>
              <w:spacing w:after="0"/>
              <w:rPr>
                <w:sz w:val="15"/>
                <w:szCs w:val="15"/>
                <w:color w:val="auto"/>
              </w:rPr>
            </w:pPr>
          </w:p>
        </w:tc>
        <w:tc>
          <w:tcPr>
            <w:tcW w:w="1700" w:type="dxa"/>
            <w:vAlign w:val="bottom"/>
            <w:gridSpan w:val="3"/>
          </w:tcPr>
          <w:p>
            <w:pPr>
              <w:jc w:val="center"/>
              <w:ind w:right="340"/>
              <w:spacing w:after="0" w:line="175" w:lineRule="exact"/>
              <w:rPr>
                <w:sz w:val="20"/>
                <w:szCs w:val="20"/>
                <w:color w:val="auto"/>
              </w:rPr>
            </w:pPr>
            <w:r>
              <w:rPr>
                <w:rFonts w:ascii="Times New Roman" w:cs="Times New Roman" w:eastAsia="Times New Roman" w:hAnsi="Times New Roman"/>
                <w:sz w:val="16"/>
                <w:szCs w:val="16"/>
                <w:color w:val="auto"/>
              </w:rPr>
              <w:t>Significant Other</w:t>
            </w:r>
          </w:p>
        </w:tc>
        <w:tc>
          <w:tcPr>
            <w:tcW w:w="1560" w:type="dxa"/>
            <w:vAlign w:val="bottom"/>
          </w:tcPr>
          <w:p>
            <w:pPr>
              <w:jc w:val="right"/>
              <w:ind w:right="363"/>
              <w:spacing w:after="0" w:line="175" w:lineRule="exact"/>
              <w:rPr>
                <w:sz w:val="20"/>
                <w:szCs w:val="20"/>
                <w:color w:val="auto"/>
              </w:rPr>
            </w:pPr>
            <w:r>
              <w:rPr>
                <w:rFonts w:ascii="Times New Roman" w:cs="Times New Roman" w:eastAsia="Times New Roman" w:hAnsi="Times New Roman"/>
                <w:sz w:val="16"/>
                <w:szCs w:val="16"/>
                <w:color w:val="auto"/>
              </w:rPr>
              <w:t>Significant</w:t>
            </w:r>
          </w:p>
        </w:tc>
      </w:tr>
      <w:tr>
        <w:trPr>
          <w:trHeight w:val="176"/>
        </w:trPr>
        <w:tc>
          <w:tcPr>
            <w:tcW w:w="4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rPr>
              <w:t>Identical Assets</w:t>
            </w:r>
          </w:p>
        </w:tc>
        <w:tc>
          <w:tcPr>
            <w:tcW w:w="140" w:type="dxa"/>
            <w:vAlign w:val="bottom"/>
          </w:tcPr>
          <w:p>
            <w:pPr>
              <w:spacing w:after="0"/>
              <w:rPr>
                <w:sz w:val="15"/>
                <w:szCs w:val="15"/>
                <w:color w:val="auto"/>
              </w:rPr>
            </w:pPr>
          </w:p>
        </w:tc>
        <w:tc>
          <w:tcPr>
            <w:tcW w:w="1700" w:type="dxa"/>
            <w:vAlign w:val="bottom"/>
            <w:gridSpan w:val="3"/>
          </w:tcPr>
          <w:p>
            <w:pPr>
              <w:jc w:val="center"/>
              <w:ind w:right="340"/>
              <w:spacing w:after="0" w:line="175" w:lineRule="exact"/>
              <w:rPr>
                <w:sz w:val="20"/>
                <w:szCs w:val="20"/>
                <w:color w:val="auto"/>
              </w:rPr>
            </w:pPr>
            <w:r>
              <w:rPr>
                <w:rFonts w:ascii="Times New Roman" w:cs="Times New Roman" w:eastAsia="Times New Roman" w:hAnsi="Times New Roman"/>
                <w:sz w:val="16"/>
                <w:szCs w:val="16"/>
                <w:color w:val="auto"/>
              </w:rPr>
              <w:t>Observable Inputs</w:t>
            </w:r>
          </w:p>
        </w:tc>
        <w:tc>
          <w:tcPr>
            <w:tcW w:w="1560" w:type="dxa"/>
            <w:vAlign w:val="bottom"/>
          </w:tcPr>
          <w:p>
            <w:pPr>
              <w:jc w:val="right"/>
              <w:ind w:right="63"/>
              <w:spacing w:after="0" w:line="175" w:lineRule="exact"/>
              <w:rPr>
                <w:sz w:val="20"/>
                <w:szCs w:val="20"/>
                <w:color w:val="auto"/>
              </w:rPr>
            </w:pPr>
            <w:r>
              <w:rPr>
                <w:rFonts w:ascii="Times New Roman" w:cs="Times New Roman" w:eastAsia="Times New Roman" w:hAnsi="Times New Roman"/>
                <w:sz w:val="16"/>
                <w:szCs w:val="16"/>
                <w:color w:val="auto"/>
              </w:rPr>
              <w:t>Unobservable Inputs</w:t>
            </w:r>
          </w:p>
        </w:tc>
      </w:tr>
      <w:tr>
        <w:trPr>
          <w:trHeight w:val="203"/>
        </w:trPr>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Carrying Value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color w:val="auto"/>
              </w:rPr>
              <w:t>(Level 3)</w:t>
            </w:r>
          </w:p>
        </w:tc>
      </w:tr>
      <w:tr>
        <w:trPr>
          <w:trHeight w:val="40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of deferred compensation plans held in trust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140,347</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For cash, accounts receivable and accounts payable, the carrying amount is a reasonable estimate of fair value because of the liquidity and short-term nature of these instruments. As further described in Note 5, our outstanding long-term debt has a floating interest rate that is reset at short-term intervals, generally 30 or 60 days. The interest rate we pay also includes an additional amount based on our current leverage ratio. As such, we believe our borrowings reflect significant nonperformance risks, mainly credit risk. Based on these factors, we believe the fair value of our long-term debt approximates its carrying value.</w:t>
      </w:r>
    </w:p>
    <w:p>
      <w:pPr>
        <w:spacing w:after="0" w:line="157" w:lineRule="exact"/>
        <w:rPr>
          <w:sz w:val="20"/>
          <w:szCs w:val="20"/>
          <w:color w:val="auto"/>
        </w:rPr>
      </w:pPr>
    </w:p>
    <w:p>
      <w:pPr>
        <w:jc w:val="right"/>
        <w:ind w:left="660" w:right="7400" w:hanging="652"/>
        <w:spacing w:after="0" w:line="533" w:lineRule="auto"/>
        <w:tabs>
          <w:tab w:leader="none" w:pos="417"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 Stock Repurchase Plan Transactions </w:t>
      </w:r>
      <w:r>
        <w:rPr>
          <w:rFonts w:ascii="Times New Roman" w:cs="Times New Roman" w:eastAsia="Times New Roman" w:hAnsi="Times New Roman"/>
          <w:sz w:val="17"/>
          <w:szCs w:val="17"/>
          <w:color w:val="auto"/>
        </w:rPr>
        <w:t>We repurchased the following capital stock:</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Borders>
              <w:bottom w:val="single" w:sz="8" w:color="auto"/>
            </w:tcBorders>
            <w:gridSpan w:val="5"/>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0"/>
        </w:trPr>
        <w:tc>
          <w:tcPr>
            <w:tcW w:w="4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color w:val="auto"/>
              </w:rPr>
              <w:t>2025</w:t>
            </w:r>
          </w:p>
        </w:tc>
      </w:tr>
      <w:tr>
        <w:trPr>
          <w:trHeight w:val="44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repurchased shares (in thousands)</w:t>
            </w:r>
          </w:p>
        </w:tc>
        <w:tc>
          <w:tcPr>
            <w:tcW w:w="186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66,031</w:t>
            </w:r>
          </w:p>
        </w:tc>
        <w:tc>
          <w:tcPr>
            <w:tcW w:w="16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353,552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253,477</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125,000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835,000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532,500</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186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528.24</w:t>
            </w:r>
          </w:p>
        </w:tc>
        <w:tc>
          <w:tcPr>
            <w:tcW w:w="16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443.62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423.42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476.02</w:t>
            </w:r>
          </w:p>
        </w:tc>
      </w:tr>
    </w:tbl>
    <w:p>
      <w:pPr>
        <w:spacing w:after="0" w:line="1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February 2026, the Board of Directors authorized $300.0 million for additional stock repurchases under Chemed’s existing share repurchase program. We currently have $73.7 million of authorization remaining under this share repurchase plan.</w:t>
      </w:r>
    </w:p>
    <w:p>
      <w:pPr>
        <w:spacing w:after="0" w:line="18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tab/>
        <w:t>Acquisitions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September 16, 2026, Roto-Rooter completed the acquisition of RotoCo, LLC (“RotoCo”), the largest independent Roto-Rooter franchise for $60.6 million using borrowings under Chemed’s existing $450.0 million revolving credit facility. The territories acquired include Northern San Diego, Palm Springs, Ventura, Bakersfield, Lancaster, Fresno, Monterey, Stockton, Manteca and Sacramento, California.</w:t>
      </w:r>
    </w:p>
    <w:p>
      <w:pPr>
        <w:spacing w:after="0" w:line="1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Other acquisitions completed in 2026 include the following: In the third quarter of 2026, Roto-Rooter completed one acquisition of a franchise in California for $1.9 million in cash. In the second quarter of 2026, Roto-Rooter completed two acquisitions, consisting of one franchise in New York and one franchise in Texas, for a total of $12.9 million in cash. In the first quarter of 2026, Roto-Rooter completed two acquisitions, consisting of one franchise in Texas and one franchise in California, for a total of $20.6 million in cash.</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The preliminary purchase price allocation for the acquired franchises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All Other 2026</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5"/>
        </w:trPr>
        <w:tc>
          <w:tcPr>
            <w:tcW w:w="4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RotoCo, LLC</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4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20" w:type="dxa"/>
            <w:vAlign w:val="bottom"/>
            <w:gridSpan w:val="2"/>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56,650</w:t>
            </w:r>
          </w:p>
        </w:tc>
        <w:tc>
          <w:tcPr>
            <w:tcW w:w="120" w:type="dxa"/>
            <w:vAlign w:val="bottom"/>
          </w:tcPr>
          <w:p>
            <w:pPr>
              <w:spacing w:after="0"/>
              <w:rPr>
                <w:sz w:val="18"/>
                <w:szCs w:val="18"/>
                <w:color w:val="auto"/>
              </w:rPr>
            </w:pPr>
          </w:p>
        </w:tc>
        <w:tc>
          <w:tcPr>
            <w:tcW w:w="1560" w:type="dxa"/>
            <w:vAlign w:val="bottom"/>
            <w:gridSpan w:val="2"/>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31,149</w:t>
            </w:r>
          </w:p>
        </w:tc>
        <w:tc>
          <w:tcPr>
            <w:tcW w:w="2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87,799</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All other identifiable intangibles assets</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r>
      <w:tr>
        <w:trPr>
          <w:trHeight w:val="22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liabilities - net</w:t>
            </w: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(210)</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0"/>
        </w:trPr>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09"/>
        </w:trPr>
        <w:tc>
          <w:tcPr>
            <w:tcW w:w="4000" w:type="dxa"/>
            <w:vAlign w:val="bottom"/>
          </w:tcPr>
          <w:p>
            <w:pPr>
              <w:spacing w:after="0"/>
              <w:rPr>
                <w:sz w:val="18"/>
                <w:szCs w:val="18"/>
                <w:color w:val="auto"/>
              </w:rPr>
            </w:pPr>
          </w:p>
        </w:tc>
        <w:tc>
          <w:tcPr>
            <w:tcW w:w="2620" w:type="dxa"/>
            <w:vAlign w:val="bottom"/>
            <w:gridSpan w:val="2"/>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60,620</w:t>
            </w:r>
          </w:p>
        </w:tc>
        <w:tc>
          <w:tcPr>
            <w:tcW w:w="120" w:type="dxa"/>
            <w:vAlign w:val="bottom"/>
          </w:tcPr>
          <w:p>
            <w:pPr>
              <w:spacing w:after="0"/>
              <w:rPr>
                <w:sz w:val="18"/>
                <w:szCs w:val="18"/>
                <w:color w:val="auto"/>
              </w:rPr>
            </w:pPr>
          </w:p>
        </w:tc>
        <w:tc>
          <w:tcPr>
            <w:tcW w:w="1560" w:type="dxa"/>
            <w:vAlign w:val="bottom"/>
            <w:gridSpan w:val="2"/>
          </w:tcPr>
          <w:p>
            <w:pPr>
              <w:jc w:val="right"/>
              <w:ind w:right="12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35,430</w:t>
            </w:r>
          </w:p>
        </w:tc>
        <w:tc>
          <w:tcPr>
            <w:tcW w:w="22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96,050</w:t>
            </w:r>
          </w:p>
        </w:tc>
      </w:tr>
      <w:tr>
        <w:trPr>
          <w:trHeight w:val="20"/>
        </w:trPr>
        <w:tc>
          <w:tcPr>
            <w:tcW w:w="4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purchase price allocation for RotoCo is preliminary and subject to adjustment during the measurement period. The Company is finalizing its evaluation of certain acquired assets, including reacquired franchise rights and other identifiable intangible assets, and the resulting goodwill. Based on information currently available, management does not expect the final valuation to materially affect the preliminary purchase price allocation. The Company expects to complete the evaluation in the fourth quarter of 2026.</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 forma revenue and earnings for the Company for the three and nine months ended September 30, as if all the acquisitions made in 2026 were completed on January 1, 2025 are as follows (in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0"/>
        </w:trPr>
        <w:tc>
          <w:tcPr>
            <w:tcW w:w="4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color w:val="auto"/>
              </w:rPr>
              <w:t>2025</w:t>
            </w:r>
          </w:p>
        </w:tc>
      </w:tr>
      <w:tr>
        <w:trPr>
          <w:trHeight w:val="401"/>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702,024</w:t>
            </w:r>
          </w:p>
        </w:tc>
        <w:tc>
          <w:tcPr>
            <w:tcW w:w="160" w:type="dxa"/>
            <w:vAlign w:val="bottom"/>
          </w:tcPr>
          <w:p>
            <w:pPr>
              <w:spacing w:after="0"/>
              <w:rPr>
                <w:sz w:val="24"/>
                <w:szCs w:val="24"/>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637,879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2,064,470</w:t>
            </w:r>
          </w:p>
        </w:tc>
        <w:tc>
          <w:tcPr>
            <w:tcW w:w="160" w:type="dxa"/>
            <w:vAlign w:val="bottom"/>
          </w:tcPr>
          <w:p>
            <w:pPr>
              <w:spacing w:after="0"/>
              <w:rPr>
                <w:sz w:val="24"/>
                <w:szCs w:val="24"/>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1,930,565</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72,009</w:t>
            </w:r>
          </w:p>
        </w:tc>
        <w:tc>
          <w:tcPr>
            <w:tcW w:w="1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64,875</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207,636</w:t>
            </w:r>
          </w:p>
        </w:tc>
        <w:tc>
          <w:tcPr>
            <w:tcW w:w="160" w:type="dxa"/>
            <w:vAlign w:val="bottom"/>
          </w:tcPr>
          <w:p>
            <w:pPr>
              <w:spacing w:after="0"/>
              <w:rPr>
                <w:sz w:val="19"/>
                <w:szCs w:val="19"/>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190,114</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w:t>
            </w:r>
          </w:p>
        </w:tc>
        <w:tc>
          <w:tcPr>
            <w:tcW w:w="1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15.61</w:t>
            </w:r>
          </w:p>
        </w:tc>
        <w:tc>
          <w:tcPr>
            <w:tcW w:w="160" w:type="dxa"/>
            <w:vAlign w:val="bottom"/>
          </w:tcPr>
          <w:p>
            <w:pPr>
              <w:spacing w:after="0"/>
              <w:rPr>
                <w:sz w:val="19"/>
                <w:szCs w:val="19"/>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r>
      <w:tr>
        <w:trPr>
          <w:trHeight w:val="235"/>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5.48</w:t>
            </w:r>
          </w:p>
        </w:tc>
        <w:tc>
          <w:tcPr>
            <w:tcW w:w="16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15.58</w:t>
            </w:r>
          </w:p>
        </w:tc>
        <w:tc>
          <w:tcPr>
            <w:tcW w:w="160" w:type="dxa"/>
            <w:vAlign w:val="bottom"/>
          </w:tcPr>
          <w:p>
            <w:pPr>
              <w:spacing w:after="0"/>
              <w:rPr>
                <w:sz w:val="20"/>
                <w:szCs w:val="20"/>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r>
    </w:tbl>
    <w:p>
      <w:pPr>
        <w:spacing w:after="0" w:line="1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 2025, Roto-Rooter completed the acquisition of one franchise in Michigan for $225,000 in cash. Revenue and net income from acquisitions made in 2025 are not material.</w:t>
      </w:r>
    </w:p>
    <w:p>
      <w:pPr>
        <w:spacing w:after="0" w:line="108"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Goodwill is assessed for impairment on a yearly basis as of October 1. The primary factor that contributed to the purchase price resulting in the recognition of goodwill is operational efficiencies expected as a result of integrating the operations of the acquisitions into the organizational structure. All goodwill recognized is deductible for tax purposes.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Shown below is movement in Goodwill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VITAS</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404,866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262,133</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666,999</w:t>
            </w: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w:t>
            </w:r>
          </w:p>
        </w:tc>
        <w:tc>
          <w:tcPr>
            <w:tcW w:w="1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87,799</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87,799</w:t>
            </w:r>
          </w:p>
        </w:tc>
        <w:tc>
          <w:tcPr>
            <w:tcW w:w="0" w:type="dxa"/>
            <w:vAlign w:val="bottom"/>
          </w:tcPr>
          <w:p>
            <w:pPr>
              <w:spacing w:after="0"/>
              <w:rPr>
                <w:sz w:val="1"/>
                <w:szCs w:val="1"/>
                <w:color w:val="auto"/>
              </w:rPr>
            </w:pPr>
          </w:p>
        </w:tc>
      </w:tr>
      <w:tr>
        <w:trPr>
          <w:trHeight w:val="222"/>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1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404,866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349,892</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754,758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Recent Accounting Standards</w:t>
      </w:r>
    </w:p>
    <w:p>
      <w:pPr>
        <w:spacing w:after="0" w:line="18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 Disaggregation of Income Statement Expenses”. The guidance provides enhanced disclosures about commonly presented expense categories such as cost of sales, selling, general and administrative expenses and research and development. The objective is to provide investors with a better understanding of the entity’s performance, assess potential future cash flows and comparability with other entities. The guidance is effective for fiscal periods beginning after December 15, 2026, and interim periods within fiscal years beginning after December 15, 2027. The Company is currently analyzing the impact of the ASU on the current footnote disclosures.</w:t>
      </w:r>
    </w:p>
    <w:p>
      <w:pPr>
        <w:spacing w:after="0" w:line="161" w:lineRule="exact"/>
        <w:rPr>
          <w:sz w:val="20"/>
          <w:szCs w:val="20"/>
          <w:color w:val="auto"/>
        </w:rPr>
      </w:pPr>
    </w:p>
    <w:p>
      <w:pPr>
        <w:ind w:right="160" w:firstLine="648"/>
        <w:spacing w:after="0" w:line="230"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“ASU 2025-06 – Intangibles – Goodwill and Other – Internal – Use Software”. The guidance seeks to modernize the accounting guidance for the costs to develop software for internal use. The guidance amends the existing standard to better align with current software development methods. Entities will start capitalizing eligible costs when management has authorized and committed to funding software projects and when it is probable that the projects will be completed and used as intended. The guidance is effective for annual periods beginning after December 15, 2027, and interim periods within those annual reporting periods. The Company is currently analyzing the impact of the ASU on the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ind w:right="36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Executive Summary</w:t>
      </w:r>
    </w:p>
    <w:p>
      <w:pPr>
        <w:spacing w:after="0" w:line="14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operate through our two wholly-owned subsidiaries, VITAS Healthcare Corporation and Roto-Rooter Group, Inc. VITAS focuses on hospice care that helps make terminally ill patients’ final days as comfortable as possible. Through its teams of doctors, nurses, home health aides, social workers, clergy and volunteers, VITAS provides direct medical services to patients, as well as spiritual and emotional counseling to both patients and their families. Roto-Rooter’s services are focused on providing plumbing, drain cleaning, excavation, water restoration, and other related services to both residential and commercial customers. Through its network of company-owned branches, independent contractors and franchisees, Roto-Rooter offers plumbing and drain cleaning service to over 90% of the U.S. population.</w:t>
      </w:r>
    </w:p>
    <w:p>
      <w:pPr>
        <w:spacing w:after="0" w:line="14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The vast majority of the Company’s operations are located in the United States. As both operations are service companies, our employees are the most critical resource of the Company. We have very little exposure related to customers, vendors, or employees in other regions of the world. We continue to monitor macroeconomic trends and uncertainties such as inflation, the effects of recently implemented tariffs, and the potential imposition of modified or additional tariffs, as well as the impact of the war with Iran on fuel prices, which may have adverse effects on net sales and profitability. Based on preliminary analysis of the potential effects of the announced tariffs and these other factors, while we have realized an increase in fuel costs, which has affected our margins, we do not expect a material negative effect on our net sales or profitability for the remainder of fiscal year 2026. However, we are continuing to evaluate these factors and their potential effects as well as our ability to potentially offset all or a portion of cost increases through pricing actions and cost savings efforts for fiscal year 2027 planning. Economic pressures including the challenges of high inflation and the effects of increased tariffs and the impact of the war with Iran may negatively affect our net sales and profitability in the future.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key operating results (in thousands except per share amounts):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338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7"/>
                <w:szCs w:val="17"/>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9"/>
        </w:trPr>
        <w:tc>
          <w:tcPr>
            <w:tcW w:w="46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r>
      <w:tr>
        <w:trPr>
          <w:trHeight w:val="217"/>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900" w:type="dxa"/>
            <w:vAlign w:val="bottom"/>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690,940</w:t>
            </w:r>
          </w:p>
        </w:tc>
        <w:tc>
          <w:tcPr>
            <w:tcW w:w="160" w:type="dxa"/>
            <w:vAlign w:val="bottom"/>
          </w:tcPr>
          <w:p>
            <w:pPr>
              <w:spacing w:after="0"/>
              <w:rPr>
                <w:sz w:val="18"/>
                <w:szCs w:val="18"/>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624,900</w:t>
            </w:r>
          </w:p>
        </w:tc>
        <w:tc>
          <w:tcPr>
            <w:tcW w:w="180" w:type="dxa"/>
            <w:vAlign w:val="bottom"/>
          </w:tcPr>
          <w:p>
            <w:pPr>
              <w:spacing w:after="0"/>
              <w:rPr>
                <w:sz w:val="18"/>
                <w:szCs w:val="18"/>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2,021,704</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1,890,641</w:t>
            </w:r>
          </w:p>
        </w:tc>
        <w:tc>
          <w:tcPr>
            <w:tcW w:w="120" w:type="dxa"/>
            <w:vAlign w:val="bottom"/>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16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180" w:type="dxa"/>
            <w:vAlign w:val="bottom"/>
          </w:tcPr>
          <w:p>
            <w:pPr>
              <w:spacing w:after="0"/>
              <w:rPr>
                <w:sz w:val="19"/>
                <w:szCs w:val="19"/>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1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120" w:type="dxa"/>
            <w:vAlign w:val="bottom"/>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Diluted EPS</w:t>
            </w:r>
          </w:p>
        </w:tc>
        <w:tc>
          <w:tcPr>
            <w:tcW w:w="900" w:type="dxa"/>
            <w:vAlign w:val="bottom"/>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5.45</w:t>
            </w:r>
          </w:p>
        </w:tc>
        <w:tc>
          <w:tcPr>
            <w:tcW w:w="16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80" w:type="dxa"/>
            <w:vAlign w:val="bottom"/>
          </w:tcPr>
          <w:p>
            <w:pPr>
              <w:spacing w:after="0"/>
              <w:rPr>
                <w:sz w:val="19"/>
                <w:szCs w:val="19"/>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15.43</w:t>
            </w:r>
          </w:p>
        </w:tc>
        <w:tc>
          <w:tcPr>
            <w:tcW w:w="1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20" w:type="dxa"/>
            <w:vAlign w:val="bottom"/>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900" w:type="dxa"/>
            <w:vAlign w:val="bottom"/>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88,725</w:t>
            </w:r>
          </w:p>
        </w:tc>
        <w:tc>
          <w:tcPr>
            <w:tcW w:w="16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75,906</w:t>
            </w:r>
          </w:p>
        </w:tc>
        <w:tc>
          <w:tcPr>
            <w:tcW w:w="180" w:type="dxa"/>
            <w:vAlign w:val="bottom"/>
          </w:tcPr>
          <w:p>
            <w:pPr>
              <w:spacing w:after="0"/>
              <w:rPr>
                <w:sz w:val="19"/>
                <w:szCs w:val="19"/>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246,146</w:t>
            </w:r>
          </w:p>
        </w:tc>
        <w:tc>
          <w:tcPr>
            <w:tcW w:w="1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221,701</w:t>
            </w:r>
          </w:p>
        </w:tc>
        <w:tc>
          <w:tcPr>
            <w:tcW w:w="120" w:type="dxa"/>
            <w:vAlign w:val="bottom"/>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Adjusted diluted EPS</w:t>
            </w:r>
          </w:p>
        </w:tc>
        <w:tc>
          <w:tcPr>
            <w:tcW w:w="900" w:type="dxa"/>
            <w:vAlign w:val="bottom"/>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6.75</w:t>
            </w:r>
          </w:p>
        </w:tc>
        <w:tc>
          <w:tcPr>
            <w:tcW w:w="16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80" w:type="dxa"/>
            <w:vAlign w:val="bottom"/>
          </w:tcPr>
          <w:p>
            <w:pPr>
              <w:spacing w:after="0"/>
              <w:rPr>
                <w:sz w:val="19"/>
                <w:szCs w:val="19"/>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18.47</w:t>
            </w:r>
          </w:p>
        </w:tc>
        <w:tc>
          <w:tcPr>
            <w:tcW w:w="1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20" w:type="dxa"/>
            <w:vAlign w:val="bottom"/>
          </w:tcPr>
          <w:p>
            <w:pPr>
              <w:spacing w:after="0"/>
              <w:rPr>
                <w:sz w:val="19"/>
                <w:szCs w:val="19"/>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900" w:type="dxa"/>
            <w:vAlign w:val="bottom"/>
          </w:tcPr>
          <w:p>
            <w:pPr>
              <w:jc w:val="right"/>
              <w:ind w:right="7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133,785</w:t>
            </w:r>
          </w:p>
        </w:tc>
        <w:tc>
          <w:tcPr>
            <w:tcW w:w="160" w:type="dxa"/>
            <w:vAlign w:val="bottom"/>
          </w:tcPr>
          <w:p>
            <w:pPr>
              <w:spacing w:after="0"/>
              <w:rPr>
                <w:sz w:val="19"/>
                <w:szCs w:val="19"/>
                <w:color w:val="auto"/>
              </w:rPr>
            </w:pPr>
          </w:p>
        </w:tc>
        <w:tc>
          <w:tcPr>
            <w:tcW w:w="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109,045</w:t>
            </w:r>
          </w:p>
        </w:tc>
        <w:tc>
          <w:tcPr>
            <w:tcW w:w="180" w:type="dxa"/>
            <w:vAlign w:val="bottom"/>
          </w:tcPr>
          <w:p>
            <w:pPr>
              <w:spacing w:after="0"/>
              <w:rPr>
                <w:sz w:val="19"/>
                <w:szCs w:val="19"/>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371,847</w:t>
            </w:r>
          </w:p>
        </w:tc>
        <w:tc>
          <w:tcPr>
            <w:tcW w:w="1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326,070</w:t>
            </w:r>
          </w:p>
        </w:tc>
        <w:tc>
          <w:tcPr>
            <w:tcW w:w="120" w:type="dxa"/>
            <w:vAlign w:val="bottom"/>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as a % of revenue</w:t>
            </w:r>
          </w:p>
        </w:tc>
        <w:tc>
          <w:tcPr>
            <w:tcW w:w="9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19.4 %</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17.4 %</w:t>
            </w: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18.4 %</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17.2 %</w:t>
            </w:r>
          </w:p>
        </w:tc>
      </w:tr>
    </w:tbl>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Adjusted net income, adjusted diluted EPS, earnings before interest, taxes and depreciation and amortization (“EBITDA”), Adjusted EBITDA and Adjusted EBITDA as a percent of revenue are not measures derived in accordance with US GAAP. We provide non-GAAP measures to help readers evaluate our operating results and to compare our operating performance with that of similar companies that have different capital structures. Our non-GAAP measures should not be considered in isolation or as a substitute for comparable measures presented in accordance with GAAP. A reconciliation of our non-GAAP measures is presented on pages 39-41.</w:t>
      </w:r>
    </w:p>
    <w:p>
      <w:pPr>
        <w:spacing w:after="0" w:line="16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For the three months ended September 30, 2026, the increase in consolidated service revenues and sales was driven by a 12.2% increase at VITAS and a 7.5% increase at Roto-Rooter. The increase in service revenues at VITAS is comprised primarily of 9.4% increase in days-of-care and a geographically weighted average Medicare reimbursement rate increase of approximately 2.2%. Acuity mix shift negatively impacted revenue growth by 25-basis points in the quarter when compared to the prior year quarter’s revenue and level-of-care mix. The combination of Medicare Cap and other contra revenue changes increased revenue growth by 85-basis points. The increase in service revenues at Roto-Rooter was driven by an increase in all service lines.</w:t>
      </w:r>
    </w:p>
    <w:p>
      <w:pPr>
        <w:spacing w:after="0" w:line="15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For the nine months ended September 30, 2026, the increase in consolidated service revenues and sales was driven by a 9.0% increase at VITAS and by a 3.2% increase at Roto-Rooter. The increase in service revenues at VITAS is comprised primarily of 5.9% increase in days-of-care and a geographically weighted average Medicare reimbursement rate increase of approximately 2.4%. Acuity mix shift negatively impacted revenue growth by 89-basis points in the year when compared to the prior year’s revenue and level-of-care mix. The combination of Medicare Cap and other contra revenue changes increased revenue growth by 159-basis points. The increase in service revenues at Roto-Rooter was driven by an increase in plumbing, drain cleaning and excavation offset by a decrease in water restoration and in the Independent Contractors.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26" w:name="page27"/>
    <w:bookmarkEnd w:id="26"/>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September 16, 2026, Roto-Rooter completed the acquisition of RotoCo, LLC (“RotoCo”), the largest independent Roto-Rooter franchise for $60.6 million using borrowings under Chemed’s existing $450.0 million revolving credit facility. The territories acquired include Northern San Diego, Palm Springs, Ventura, Bakersfield, Lancaster, Fresno, Monterey, Stockton, Manteca and Sacramento, California.</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Other acquisitions completed in 2026 include the following, in the third quarter of 2026, Roto-Rooter completed one acquisition for one franchise in California for a total of $1.9 million in cash. In the second quarter of 2026, Roto-Rooter completed two acquisitions for one franchise in New York and one franchise in Texas for a total of $12.9 million in cash. In the first quarter of 2026, Roto-Rooter completed two acquisitions for one franchise in Texas and one franchise in California for a total of $20.6 million in cash.</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changes in the balance sheet accounts from December 31, 2025 to September 30, 2026 include the following:</w:t>
      </w:r>
    </w:p>
    <w:p>
      <w:pPr>
        <w:spacing w:after="0" w:line="185" w:lineRule="exact"/>
        <w:rPr>
          <w:sz w:val="20"/>
          <w:szCs w:val="20"/>
          <w:color w:val="auto"/>
        </w:rPr>
      </w:pPr>
    </w:p>
    <w:p>
      <w:pPr>
        <w:ind w:left="980"/>
        <w:spacing w:after="0" w:line="228" w:lineRule="auto"/>
        <w:rPr>
          <w:sz w:val="20"/>
          <w:szCs w:val="20"/>
          <w:color w:val="auto"/>
        </w:rPr>
      </w:pPr>
      <w:r>
        <w:rPr>
          <w:rFonts w:ascii="Times New Roman" w:cs="Times New Roman" w:eastAsia="Times New Roman" w:hAnsi="Times New Roman"/>
          <w:sz w:val="18"/>
          <w:szCs w:val="18"/>
          <w:color w:val="auto"/>
        </w:rPr>
        <w:t>A $72.3 million increase in accounts receivable due primarily to the timing of payments received from the Federal government at VITAS. We typically receive a payment in excess of $63.0 million from the Federal government for hospice services every other Friday. The timing of a period end will have a significant impact on the accounts receivable at VITAS. These changes generally normalize over a two-year period, as cash flow variations in one year are offset in the following year.</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$11.5 million increase in prepaid expenses due primarily to renewal of insurance policies during the year.</w:t>
      </w:r>
    </w:p>
    <w:p>
      <w:pPr>
        <w:spacing w:after="0" w:line="83" w:lineRule="exact"/>
        <w:rPr>
          <w:sz w:val="20"/>
          <w:szCs w:val="20"/>
          <w:color w:val="auto"/>
        </w:rPr>
      </w:pPr>
    </w:p>
    <w:p>
      <w:pPr>
        <w:ind w:left="980" w:right="360"/>
        <w:spacing w:after="0" w:line="344" w:lineRule="auto"/>
        <w:rPr>
          <w:sz w:val="20"/>
          <w:szCs w:val="20"/>
          <w:color w:val="auto"/>
        </w:rPr>
      </w:pPr>
      <w:r>
        <w:rPr>
          <w:rFonts w:ascii="Times New Roman" w:cs="Times New Roman" w:eastAsia="Times New Roman" w:hAnsi="Times New Roman"/>
          <w:sz w:val="18"/>
          <w:szCs w:val="18"/>
          <w:color w:val="auto"/>
        </w:rPr>
        <w:t>A $12.9 million increase in lease right of use asset due to lease renewals. This resulted in a similar increase in the lease liability accounts. An $87.8 million increase in goodwill due to the six acquisitions at Roto-Rooter.</w:t>
      </w: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A $15.0 million increase in accrued insurance related to a $6.0 million legal settlement of a casualty insurance claim and an increase in casualty and medical insurance expenses.</w:t>
      </w:r>
    </w:p>
    <w:p>
      <w:pPr>
        <w:spacing w:after="0" w:line="40" w:lineRule="exact"/>
        <w:rPr>
          <w:sz w:val="20"/>
          <w:szCs w:val="20"/>
          <w:color w:val="auto"/>
        </w:rPr>
      </w:pPr>
    </w:p>
    <w:p>
      <w:pPr>
        <w:ind w:left="980" w:right="2200"/>
        <w:spacing w:after="0" w:line="352" w:lineRule="auto"/>
        <w:rPr>
          <w:sz w:val="20"/>
          <w:szCs w:val="20"/>
          <w:color w:val="auto"/>
        </w:rPr>
      </w:pPr>
      <w:r>
        <w:rPr>
          <w:rFonts w:ascii="Times New Roman" w:cs="Times New Roman" w:eastAsia="Times New Roman" w:hAnsi="Times New Roman"/>
          <w:sz w:val="18"/>
          <w:szCs w:val="18"/>
          <w:color w:val="auto"/>
        </w:rPr>
        <w:t>A $30.7 million increase in accrued compensation due to yearly bonus accruals and timing of payroll at VITAS. A $236.0 million increase in long-term debt due primarily to acquisitions and stock repurchases.</w:t>
      </w:r>
    </w:p>
    <w:p>
      <w:pPr>
        <w:ind w:left="660"/>
        <w:spacing w:after="0"/>
        <w:rPr>
          <w:sz w:val="20"/>
          <w:szCs w:val="20"/>
          <w:color w:val="auto"/>
        </w:rPr>
      </w:pPr>
      <w:r>
        <w:rPr>
          <w:rFonts w:ascii="Times New Roman" w:cs="Times New Roman" w:eastAsia="Times New Roman" w:hAnsi="Times New Roman"/>
          <w:sz w:val="18"/>
          <w:szCs w:val="18"/>
          <w:color w:val="auto"/>
        </w:rPr>
        <w:t>A $400.0 million increase in treasury stock due to stock repurchases.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decreased $25.1 million from September 30, 2025 to September 30, 2026. See the Unaudited Consolidated Statements of Cash Flows on page 5 for the detail components making up the change.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Management continually evaluates cash utilization alternatives, including share repurchase, debt repurchase, acquisitions and increased dividends to determine the most beneficial use of available capital resources.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that our operating income and cash flows will be sufficient to operate our business and meet any commitments for the foreseeable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April 10, 2026, we replaced the Prior Credit Agreement with a sixth amended and restated Credit Agreement. Terms of the Credit Agreement consist of a five-year $450.0 million revolving credit facility including $100.0 million for letters of credit. This Credit Agreement has a floating interest rate that is generally the secured overnight financing rate (“SOFR”) plus an additional tiered rate which varies based on our current leverage ratio. As of September 30, 2026, the interest rate is SOFR plus 100 basis points. The Credit Agreement includes an expansion feature that provides the Company the opportunity to increase its revolver by an additional $250.0 million.</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have issued $47.3 million in standby letters of credit as of September 30, 2026, mainly for insurance purposes. Issued letters of credit reduce our available credit under the Credit Agreement. As of September 30, 2026, we have approximately $166.7 million of unused lines of credit available and are eligible to be drawn down under the Credit Agreement. Management believes its liquidity and sources of capital are satisfactory for the Company’s needs in the foreseeable future.</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Collectively, the terms of the Credit Agreement require us to meet various financial covenants, to be tested quarterly. We are in compliance with all financial and other debt covenants as of September 30, 2026.</w:t>
      </w:r>
    </w:p>
    <w:p>
      <w:pPr>
        <w:spacing w:after="0" w:line="12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disclose the existence of regulatory and legal actions when we believe it is reasonably possible that a loss could occur in connection with the specific action. In most instances, we are unable to make a reasonable estimate of any</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7" w:name="page28"/>
    <w:bookmarkEnd w:id="27"/>
    <w:p>
      <w:pPr>
        <w:spacing w:after="0" w:line="251" w:lineRule="auto"/>
        <w:rPr>
          <w:sz w:val="20"/>
          <w:szCs w:val="20"/>
          <w:color w:val="auto"/>
        </w:rPr>
      </w:pPr>
      <w:r>
        <w:rPr>
          <w:rFonts w:ascii="Times New Roman" w:cs="Times New Roman" w:eastAsia="Times New Roman" w:hAnsi="Times New Roman"/>
          <w:sz w:val="18"/>
          <w:szCs w:val="18"/>
          <w:color w:val="auto"/>
        </w:rPr>
        <w:t>reasonably possible liability due to the uncertainty of the outcome and stage of litigation. We record legal fees associated with legal and regulatory actions as the costs are incurred.</w:t>
      </w:r>
    </w:p>
    <w:p>
      <w:pPr>
        <w:spacing w:after="0" w:line="148" w:lineRule="exact"/>
        <w:rPr>
          <w:sz w:val="20"/>
          <w:szCs w:val="20"/>
          <w:color w:val="auto"/>
        </w:rPr>
      </w:pPr>
    </w:p>
    <w:p>
      <w:pPr>
        <w:jc w:val="center"/>
        <w:ind w:left="760" w:right="220"/>
        <w:spacing w:after="0" w:line="485" w:lineRule="auto"/>
        <w:rPr>
          <w:sz w:val="20"/>
          <w:szCs w:val="20"/>
          <w:color w:val="auto"/>
        </w:rPr>
      </w:pPr>
      <w:r>
        <w:rPr>
          <w:rFonts w:ascii="Times New Roman" w:cs="Times New Roman" w:eastAsia="Times New Roman" w:hAnsi="Times New Roman"/>
          <w:sz w:val="18"/>
          <w:szCs w:val="18"/>
          <w:color w:val="auto"/>
        </w:rPr>
        <w:t>See Note 11 in the Notes to the Unaudited Consolidated Financial Statements in Item 1 above for a description of current material legal matters.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2026 versus 2025 - Consolidated Results</w:t>
      </w:r>
    </w:p>
    <w:p>
      <w:pPr>
        <w:spacing w:after="0" w:line="16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service revenues and sales for the third quarter of 2026 increased 10.6% versus services revenue and sales for the third quarter of 2025. Of this increase, a $49.7 million increase was attributable to VITAS, and a $16.4 million increase was attributable to Roto-Rooter. The following chart shows the components of revenue by operating segment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322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7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10"/>
        </w:trPr>
        <w:tc>
          <w:tcPr>
            <w:tcW w:w="6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Routine homecare</w:t>
            </w:r>
          </w:p>
        </w:tc>
        <w:tc>
          <w:tcPr>
            <w:tcW w:w="920" w:type="dxa"/>
            <w:vAlign w:val="bottom"/>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405,969</w:t>
            </w:r>
          </w:p>
        </w:tc>
        <w:tc>
          <w:tcPr>
            <w:tcW w:w="1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362,405</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General inpatient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36,407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33,099</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Continuous care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21,159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19,946</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6,421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Subtotal</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469,956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421,257</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Medicare cap adjustment</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(828)</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(6,086)</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Room and board - net</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(3,982)</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(3,859)</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(7,743)</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(3,571)</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w:t>
            </w:r>
          </w:p>
        </w:tc>
      </w:tr>
      <w:tr>
        <w:trPr>
          <w:trHeight w:val="209"/>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457,403</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407,741</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44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Drain cleaning</w:t>
            </w:r>
          </w:p>
        </w:tc>
        <w:tc>
          <w:tcPr>
            <w:tcW w:w="920" w:type="dxa"/>
            <w:vAlign w:val="bottom"/>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58,475</w:t>
            </w:r>
          </w:p>
        </w:tc>
        <w:tc>
          <w:tcPr>
            <w:tcW w:w="1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55,454</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Plumbing</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48,242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Excavation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61,249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57,102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Subtotal - short term core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158,529</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Water restoration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48,882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45,196</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Independent contractors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16,871</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Outside franchisee fees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Gross revenue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239,907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226,478</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(6,370)</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(9,319)</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9"/>
        </w:trPr>
        <w:tc>
          <w:tcPr>
            <w:tcW w:w="63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233,537</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217,159</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6"/>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690,940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624,900</w:t>
            </w:r>
          </w:p>
        </w:tc>
        <w:tc>
          <w:tcPr>
            <w:tcW w:w="2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Days of care at VITAS during the quarters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3360" w:type="dxa"/>
            <w:vAlign w:val="bottom"/>
            <w:tcBorders>
              <w:bottom w:val="single" w:sz="8" w:color="auto"/>
            </w:tcBorders>
            <w:gridSpan w:val="4"/>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10"/>
        </w:trPr>
        <w:tc>
          <w:tcPr>
            <w:tcW w:w="5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446"/>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Routine homecare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1,872,071</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1,685,859</w:t>
            </w:r>
          </w:p>
        </w:tc>
        <w:tc>
          <w:tcPr>
            <w:tcW w:w="2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230"/>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Nursing home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312,663</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309,192</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Respite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12,502</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17"/>
        </w:trPr>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Subtotal routine homecare and respite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2,197,236</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2,007,235</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30"/>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inpatient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30,494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28,530</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Continuous care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19,683</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18,309</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96"/>
        </w:trPr>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days of care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2,247,413</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2,054,074</w:t>
            </w: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5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increase in service revenues at VITAS is comprised primarily of 9.4% increase in days-of-care and a geographically weighted average Medicare reimbursement rate increase of approximately 2.2%. Acuity mix shift negatively impacted revenue growth by 25-basis points in the quarter when compared to the prior year revenue and level-of-care mix. The combination of Medicare Cap and other contra revenue changes increased revenue growth by 85-basis points.</w:t>
      </w:r>
    </w:p>
    <w:p>
      <w:pPr>
        <w:spacing w:after="0" w:line="17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increase in plumbing revenues for the third quarter of 2026 versus 2025 is attributable to a 10.5% increase in price and service mix shift offset by a 5.1% decrease in job count. The increase in drain cleaning revenues for the third quarter of 2026 versus 2025 is attributable to a 6.4% increase in price and service mix offset by a 1.0% decrease in job count. Excavation and water restoration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9" w:name="page30"/>
    <w:bookmarkEnd w:id="29"/>
    <w:p>
      <w:pPr>
        <w:jc w:val="both"/>
        <w:spacing w:after="0" w:line="238" w:lineRule="auto"/>
        <w:rPr>
          <w:sz w:val="20"/>
          <w:szCs w:val="20"/>
          <w:color w:val="auto"/>
        </w:rPr>
      </w:pPr>
      <w:r>
        <w:rPr>
          <w:rFonts w:ascii="Times New Roman" w:cs="Times New Roman" w:eastAsia="Times New Roman" w:hAnsi="Times New Roman"/>
          <w:sz w:val="18"/>
          <w:szCs w:val="18"/>
          <w:color w:val="auto"/>
        </w:rPr>
        <w:t>jobs are generally sold as a result of initial calls from customers regarding drain cleaning issues. As a result, excavation revenues increased 7.3% and water restoration revenues increased 8.2%. Implicit price concessions and credit memos decreased 31.6% mainly related to the improved collections in water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restoration business.</w:t>
      </w:r>
    </w:p>
    <w:p>
      <w:pPr>
        <w:spacing w:after="0" w:line="16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consolidated gross margin was 33.7% in the third quarter of 2026 as compared with 32.0% in the third quarter of 2025. On a segment basis, VITAS’ gross margin was 25.2% in the third quarter of 2026 as compared with 22.0% in the third quarter of 2025. The increase was primarily related to increased revenues including a $5.3 million decrease in Medicare Cap billing limitation in the third quarter of 2026 compared to third quarter of 2025 as well as continued focus on expense control. The Roto-Rooter segment’s gross margin was 50.3% for the third quarter of 2026 which was almost equal to the third quarter of 2025.</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(“SG&amp;A”) comprise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6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 before long-term incentive compensation and the impact of market value adjustments related to</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trusts</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106,241</w:t>
            </w:r>
          </w:p>
        </w:tc>
        <w:tc>
          <w:tcPr>
            <w:tcW w:w="180" w:type="dxa"/>
            <w:vAlign w:val="bottom"/>
          </w:tcPr>
          <w:p>
            <w:pPr>
              <w:spacing w:after="0"/>
              <w:rPr>
                <w:sz w:val="18"/>
                <w:szCs w:val="18"/>
                <w:color w:val="auto"/>
              </w:rPr>
            </w:pPr>
          </w:p>
        </w:tc>
        <w:tc>
          <w:tcPr>
            <w:tcW w:w="1200" w:type="dxa"/>
            <w:vAlign w:val="bottom"/>
          </w:tcPr>
          <w:p>
            <w:pPr>
              <w:jc w:val="right"/>
              <w:ind w:right="104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99,288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Impact of market value adjustments related to assets held in deferred compensation trusts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2,077</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6,703</w:t>
            </w:r>
          </w:p>
        </w:tc>
      </w:tr>
      <w:tr>
        <w:trPr>
          <w:trHeight w:val="208"/>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3,151</w:t>
            </w: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83"/>
        </w:trPr>
        <w:tc>
          <w:tcPr>
            <w:tcW w:w="756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SG&amp;A expenses</w:t>
            </w:r>
          </w:p>
        </w:tc>
        <w:tc>
          <w:tcPr>
            <w:tcW w:w="114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111,469</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right"/>
              <w:ind w:right="1045"/>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105,775</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 value adjustments related to deferred compensation trusts for the third quarter of 2026 were up 7.0% when compared to the third quarter of 2025. Of this increase $4.3 million was the result of increased advertising at Roto-Rooter in the third quarter of 2026 compared to the third quarter of 2025. The remaining increase was the result of normal salary increases and increased incentive compensation.</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Legal settlements</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7,483</w:t>
            </w:r>
          </w:p>
        </w:tc>
        <w:tc>
          <w:tcPr>
            <w:tcW w:w="180" w:type="dxa"/>
            <w:vAlign w:val="bottom"/>
          </w:tcPr>
          <w:p>
            <w:pPr>
              <w:spacing w:after="0"/>
              <w:rPr>
                <w:sz w:val="18"/>
                <w:szCs w:val="18"/>
                <w:color w:val="auto"/>
              </w:rPr>
            </w:pPr>
          </w:p>
        </w:tc>
        <w:tc>
          <w:tcPr>
            <w:tcW w:w="1280" w:type="dxa"/>
            <w:vAlign w:val="bottom"/>
          </w:tcPr>
          <w:p>
            <w:pPr>
              <w:jc w:val="right"/>
              <w:ind w:right="112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187</w:t>
            </w:r>
          </w:p>
        </w:tc>
        <w:tc>
          <w:tcPr>
            <w:tcW w:w="1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operating expenses</w:t>
            </w:r>
          </w:p>
        </w:tc>
        <w:tc>
          <w:tcPr>
            <w:tcW w:w="12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7,670</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right"/>
              <w:ind w:right="112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income – net comprise (in thousands):</w:t>
            </w: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5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56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 on assets held in deferred compensation trusts</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2,077</w:t>
            </w:r>
          </w:p>
        </w:tc>
        <w:tc>
          <w:tcPr>
            <w:tcW w:w="180" w:type="dxa"/>
            <w:vAlign w:val="bottom"/>
          </w:tcPr>
          <w:p>
            <w:pPr>
              <w:spacing w:after="0"/>
              <w:rPr>
                <w:sz w:val="18"/>
                <w:szCs w:val="18"/>
                <w:color w:val="auto"/>
              </w:rPr>
            </w:pPr>
          </w:p>
        </w:tc>
        <w:tc>
          <w:tcPr>
            <w:tcW w:w="1280" w:type="dxa"/>
            <w:vAlign w:val="bottom"/>
          </w:tcPr>
          <w:p>
            <w:pPr>
              <w:jc w:val="right"/>
              <w:ind w:right="112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0" w:type="dxa"/>
            <w:vAlign w:val="bottom"/>
          </w:tcPr>
          <w:p>
            <w:pPr>
              <w:spacing w:after="0"/>
              <w:rPr>
                <w:sz w:val="1"/>
                <w:szCs w:val="1"/>
                <w:color w:val="auto"/>
              </w:rPr>
            </w:pP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 net</w:t>
            </w:r>
          </w:p>
        </w:tc>
        <w:tc>
          <w:tcPr>
            <w:tcW w:w="12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2,383</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right"/>
              <w:ind w:right="1125"/>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invest excess cash in money market funds with major commercial banks. We closely monitor the creditworthiness of the institutions with which we invest our overnight funds. Chemed invests excess cash in money market funds holding US Treasuries. Deposits and withdrawals are made daily, based on the Company’s excess cash balance. There are no penalties associated with withdrawals. The accounts bear interest at a normal market rate.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is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at the statutory federal rate</w:t>
            </w:r>
          </w:p>
        </w:tc>
        <w:tc>
          <w:tcPr>
            <w:tcW w:w="3860" w:type="dxa"/>
            <w:vAlign w:val="bottom"/>
            <w:gridSpan w:val="2"/>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20,308</w:t>
            </w:r>
          </w:p>
        </w:tc>
        <w:tc>
          <w:tcPr>
            <w:tcW w:w="400" w:type="dxa"/>
            <w:vAlign w:val="bottom"/>
          </w:tcPr>
          <w:p>
            <w:pPr>
              <w:spacing w:after="0"/>
              <w:rPr>
                <w:sz w:val="24"/>
                <w:szCs w:val="24"/>
                <w:color w:val="auto"/>
              </w:rPr>
            </w:pPr>
          </w:p>
        </w:tc>
        <w:tc>
          <w:tcPr>
            <w:tcW w:w="1060" w:type="dxa"/>
            <w:vAlign w:val="bottom"/>
          </w:tcPr>
          <w:p>
            <w:pPr>
              <w:jc w:val="right"/>
              <w:ind w:right="90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2,685</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 tax expense</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28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1,546</w:t>
            </w:r>
          </w:p>
        </w:tc>
        <w:tc>
          <w:tcPr>
            <w:tcW w:w="4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20" w:type="dxa"/>
            <w:vAlign w:val="bottom"/>
          </w:tcPr>
          <w:p>
            <w:pPr>
              <w:spacing w:after="0"/>
              <w:rPr>
                <w:sz w:val="17"/>
                <w:szCs w:val="17"/>
                <w:color w:val="auto"/>
              </w:rPr>
            </w:pPr>
          </w:p>
        </w:tc>
        <w:tc>
          <w:tcPr>
            <w:tcW w:w="104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25,060</w:t>
            </w:r>
          </w:p>
        </w:tc>
        <w:tc>
          <w:tcPr>
            <w:tcW w:w="400" w:type="dxa"/>
            <w:vAlign w:val="bottom"/>
          </w:tcPr>
          <w:p>
            <w:pPr>
              <w:spacing w:after="0"/>
              <w:rPr>
                <w:sz w:val="17"/>
                <w:szCs w:val="17"/>
                <w:color w:val="auto"/>
              </w:rPr>
            </w:pPr>
          </w:p>
        </w:tc>
        <w:tc>
          <w:tcPr>
            <w:tcW w:w="106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2820" w:type="dxa"/>
            <w:vAlign w:val="bottom"/>
            <w:vMerge w:val="restart"/>
          </w:tcPr>
          <w:p>
            <w:pPr>
              <w:jc w:val="right"/>
              <w:ind w:right="1619"/>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25.9 </w:t>
            </w:r>
            <w:r>
              <w:rPr>
                <w:rFonts w:ascii="Times New Roman" w:cs="Times New Roman" w:eastAsia="Times New Roman" w:hAnsi="Times New Roman"/>
                <w:sz w:val="14"/>
                <w:szCs w:val="14"/>
                <w:color w:val="auto"/>
              </w:rPr>
              <w:t>%</w:t>
            </w:r>
          </w:p>
        </w:tc>
        <w:tc>
          <w:tcPr>
            <w:tcW w:w="10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Pr>
          <w:p>
            <w:pPr>
              <w:spacing w:after="0"/>
              <w:rPr>
                <w:sz w:val="15"/>
                <w:szCs w:val="15"/>
                <w:color w:val="auto"/>
              </w:rPr>
            </w:pPr>
          </w:p>
        </w:tc>
        <w:tc>
          <w:tcPr>
            <w:tcW w:w="28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Net income for both periods included the following after-tax items/adjustments that (reduced) or increased after-tax earnings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Legal settlements</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(5,076)</w:t>
            </w: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(1,804)</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 expense</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(1,324)</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option expense</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(5,284)</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(2,830)</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Excess tax expenses on stock compensation</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(521)</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Legal settlements</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(238)</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(17,077)</w:t>
            </w: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September 30, 2026 versus 2025 - Segment Results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income/(loss) for the third quarter of 2026 versus the third quarter of 2025 by segment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20" w:type="dxa"/>
            <w:vAlign w:val="bottom"/>
            <w:tcBorders>
              <w:bottom w:val="single" w:sz="8" w:color="auto"/>
            </w:tcBorders>
          </w:tcPr>
          <w:p>
            <w:pPr>
              <w:spacing w:after="0"/>
              <w:rPr>
                <w:sz w:val="17"/>
                <w:szCs w:val="17"/>
                <w:color w:val="auto"/>
              </w:rPr>
            </w:pPr>
          </w:p>
        </w:tc>
      </w:tr>
      <w:tr>
        <w:trPr>
          <w:trHeight w:val="209"/>
        </w:trPr>
        <w:tc>
          <w:tcPr>
            <w:tcW w:w="3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46"/>
              <w:spacing w:after="0"/>
              <w:rPr>
                <w:sz w:val="20"/>
                <w:szCs w:val="20"/>
                <w:color w:val="auto"/>
              </w:rPr>
            </w:pPr>
            <w:r>
              <w:rPr>
                <w:rFonts w:ascii="Times New Roman" w:cs="Times New Roman" w:eastAsia="Times New Roman" w:hAnsi="Times New Roman"/>
                <w:sz w:val="16"/>
                <w:szCs w:val="16"/>
                <w:color w:val="auto"/>
              </w:rPr>
              <w:t>2025</w:t>
            </w:r>
          </w:p>
        </w:tc>
      </w:tr>
      <w:tr>
        <w:trPr>
          <w:trHeight w:val="21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3920" w:type="dxa"/>
            <w:vAlign w:val="bottom"/>
            <w:gridSpan w:val="2"/>
          </w:tcPr>
          <w:p>
            <w:pPr>
              <w:jc w:val="right"/>
              <w:ind w:right="1464"/>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left="626"/>
              <w:spacing w:after="0"/>
              <w:rPr>
                <w:sz w:val="20"/>
                <w:szCs w:val="20"/>
                <w:color w:val="auto"/>
              </w:rPr>
            </w:pPr>
            <w:r>
              <w:rPr>
                <w:rFonts w:ascii="Times New Roman" w:cs="Times New Roman" w:eastAsia="Times New Roman" w:hAnsi="Times New Roman"/>
                <w:sz w:val="14"/>
                <w:szCs w:val="14"/>
                <w:b w:val="1"/>
                <w:bCs w:val="1"/>
                <w:color w:val="auto"/>
                <w:w w:val="98"/>
              </w:rPr>
              <w:t>65,708</w:t>
            </w:r>
          </w:p>
        </w:tc>
        <w:tc>
          <w:tcPr>
            <w:tcW w:w="280" w:type="dxa"/>
            <w:vAlign w:val="bottom"/>
          </w:tcPr>
          <w:p>
            <w:pPr>
              <w:spacing w:after="0"/>
              <w:rPr>
                <w:sz w:val="18"/>
                <w:szCs w:val="18"/>
                <w:color w:val="auto"/>
              </w:rPr>
            </w:pPr>
          </w:p>
        </w:tc>
        <w:tc>
          <w:tcPr>
            <w:tcW w:w="11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center"/>
              <w:ind w:left="1066"/>
              <w:spacing w:after="0"/>
              <w:rPr>
                <w:sz w:val="20"/>
                <w:szCs w:val="20"/>
                <w:color w:val="auto"/>
              </w:rPr>
            </w:pPr>
            <w:r>
              <w:rPr>
                <w:rFonts w:ascii="Times New Roman" w:cs="Times New Roman" w:eastAsia="Times New Roman" w:hAnsi="Times New Roman"/>
                <w:sz w:val="14"/>
                <w:szCs w:val="14"/>
                <w:color w:val="auto"/>
              </w:rPr>
              <w:t>46,771</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jc w:val="center"/>
              <w:ind w:left="626"/>
              <w:spacing w:after="0"/>
              <w:rPr>
                <w:sz w:val="20"/>
                <w:szCs w:val="20"/>
                <w:color w:val="auto"/>
              </w:rPr>
            </w:pPr>
            <w:r>
              <w:rPr>
                <w:rFonts w:ascii="Times New Roman" w:cs="Times New Roman" w:eastAsia="Times New Roman" w:hAnsi="Times New Roman"/>
                <w:sz w:val="14"/>
                <w:szCs w:val="14"/>
                <w:b w:val="1"/>
                <w:bCs w:val="1"/>
                <w:color w:val="auto"/>
                <w:w w:val="98"/>
              </w:rPr>
              <w:t>30,140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jc w:val="center"/>
              <w:ind w:left="1066"/>
              <w:spacing w:after="0"/>
              <w:rPr>
                <w:sz w:val="20"/>
                <w:szCs w:val="20"/>
                <w:color w:val="auto"/>
              </w:rPr>
            </w:pPr>
            <w:r>
              <w:rPr>
                <w:rFonts w:ascii="Times New Roman" w:cs="Times New Roman" w:eastAsia="Times New Roman" w:hAnsi="Times New Roman"/>
                <w:sz w:val="14"/>
                <w:szCs w:val="14"/>
                <w:color w:val="auto"/>
              </w:rPr>
              <w:t>32,071</w:t>
            </w:r>
          </w:p>
        </w:tc>
      </w:tr>
      <w:tr>
        <w:trPr>
          <w:trHeight w:val="22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40" w:type="dxa"/>
            <w:vAlign w:val="bottom"/>
            <w:gridSpan w:val="2"/>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(24,200)</w:t>
            </w:r>
          </w:p>
        </w:tc>
        <w:tc>
          <w:tcPr>
            <w:tcW w:w="1140" w:type="dxa"/>
            <w:vAlign w:val="bottom"/>
          </w:tcPr>
          <w:p>
            <w:pPr>
              <w:spacing w:after="0"/>
              <w:rPr>
                <w:sz w:val="19"/>
                <w:szCs w:val="19"/>
                <w:color w:val="auto"/>
              </w:rPr>
            </w:pPr>
          </w:p>
        </w:tc>
        <w:tc>
          <w:tcPr>
            <w:tcW w:w="1620" w:type="dxa"/>
            <w:vAlign w:val="bottom"/>
          </w:tcPr>
          <w:p>
            <w:pPr>
              <w:jc w:val="center"/>
              <w:ind w:left="1046"/>
              <w:spacing w:after="0"/>
              <w:rPr>
                <w:sz w:val="20"/>
                <w:szCs w:val="20"/>
                <w:color w:val="auto"/>
              </w:rPr>
            </w:pPr>
            <w:r>
              <w:rPr>
                <w:rFonts w:ascii="Times New Roman" w:cs="Times New Roman" w:eastAsia="Times New Roman" w:hAnsi="Times New Roman"/>
                <w:sz w:val="14"/>
                <w:szCs w:val="14"/>
                <w:color w:val="auto"/>
              </w:rPr>
              <w:t>(14,605)</w:t>
            </w:r>
          </w:p>
        </w:tc>
      </w:tr>
      <w:tr>
        <w:trPr>
          <w:trHeight w:val="196"/>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146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center"/>
              <w:ind w:left="626"/>
              <w:spacing w:after="0"/>
              <w:rPr>
                <w:sz w:val="20"/>
                <w:szCs w:val="20"/>
                <w:color w:val="auto"/>
              </w:rPr>
            </w:pPr>
            <w:r>
              <w:rPr>
                <w:rFonts w:ascii="Times New Roman" w:cs="Times New Roman" w:eastAsia="Times New Roman" w:hAnsi="Times New Roman"/>
                <w:sz w:val="14"/>
                <w:szCs w:val="14"/>
                <w:b w:val="1"/>
                <w:bCs w:val="1"/>
                <w:color w:val="auto"/>
                <w:w w:val="98"/>
              </w:rPr>
              <w:t>71,648</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tcPr>
          <w:p>
            <w:pPr>
              <w:jc w:val="center"/>
              <w:ind w:left="1066"/>
              <w:spacing w:after="0"/>
              <w:rPr>
                <w:sz w:val="20"/>
                <w:szCs w:val="20"/>
                <w:color w:val="auto"/>
              </w:rPr>
            </w:pPr>
            <w:r>
              <w:rPr>
                <w:rFonts w:ascii="Times New Roman" w:cs="Times New Roman" w:eastAsia="Times New Roman" w:hAnsi="Times New Roman"/>
                <w:sz w:val="14"/>
                <w:szCs w:val="14"/>
                <w:color w:val="auto"/>
              </w:rPr>
              <w:t>64,237</w:t>
            </w:r>
          </w:p>
        </w:tc>
      </w:tr>
      <w:tr>
        <w:trPr>
          <w:trHeight w:val="20"/>
        </w:trPr>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After-tax earnings as a percent of revenue at VITAS in the third quarter of 2026 was 14.4% as compared to 11.5% in the third quarter of 2025. VITAS’ after-tax earnings increased primarily due to increased revenues including a $5.3 million decrease in Medicare Cap liability in the third quarter of 2026 compared to the third quarter of 2025.</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Roto-Rooter’s net income was negatively impacted in the third quarter of 2026 compared to the third quarter of 2025 due to an increase in marketing, fuel, and acquisition expenses. Roto-Rooter’s after-tax earnings as a percent of revenue in the third quarter of 2026 was 13.0%, as compared to 14.8% in the third quarter of 2025.</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After-tax Corporate expenses for the third quarter of 2026 increased 65.7% when compared to the third quarter in 2025 due primarily to a $2.3 million decrease in interest income related to lower cash and investment balances, a $1.6 million increase in interest expense related to an increase in long-term debt as a result of stock repurchases and acquisitions, a $1.6 million increase in intercompany interest expense, a $3.1 million increase in stock-based compensation and a $520,000 decrease in excess tax benefit related to reduced stock option exercises.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2026 versus 2025 - Consolidated Results</w:t>
      </w:r>
    </w:p>
    <w:p>
      <w:pPr>
        <w:spacing w:after="0" w:line="16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service revenues and sales for the first nine months of 2026 increased 6.9% versus services revenue and sales for the first nine months of 2025. Of this increase, a $109.4 million increase was attributable to VITAS, and a $21.6 million increase was attributable to Roto-Rooter. The following chart shows the components of revenue by operating segment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7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Routine homecare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1,168,407</w:t>
            </w:r>
          </w:p>
        </w:tc>
        <w:tc>
          <w:tcPr>
            <w:tcW w:w="1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1,072,014</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General inpatient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100,145</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Continuous care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58,689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68,222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18,204</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1,353,306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1,257,279</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Medicare cap adjustment</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(3,703)</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(24,786)</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Room and board - net</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(11,178)</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(11,277)</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(17,663)</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(9,875)</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09"/>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 revenue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1,320,762</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1,211,341</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44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Drain cleaning</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175,710</w:t>
            </w:r>
          </w:p>
        </w:tc>
        <w:tc>
          <w:tcPr>
            <w:tcW w:w="1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170,553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Plumbing</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145,727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137,097</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Excavation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186,322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177,833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856</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Subtotal - short term core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508,615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486,078</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Water restoration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143,587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149,183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Independent contractors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51,751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52,682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Outside franchisee fees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13,649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14,127</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Gross revenue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722,141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706,332</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2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(21,199)</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(27,032)</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10"/>
        </w:trPr>
        <w:tc>
          <w:tcPr>
            <w:tcW w:w="63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revenue</w:t>
            </w:r>
          </w:p>
        </w:tc>
        <w:tc>
          <w:tcPr>
            <w:tcW w:w="2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700,942</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679,300</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96"/>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2,021,704</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1,890,641</w:t>
            </w:r>
          </w:p>
        </w:tc>
        <w:tc>
          <w:tcPr>
            <w:tcW w:w="2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Days of care at VITAS during the nine months ended September 30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3360" w:type="dxa"/>
            <w:vAlign w:val="bottom"/>
            <w:tcBorders>
              <w:bottom w:val="single" w:sz="8" w:color="auto"/>
            </w:tcBorders>
            <w:gridSpan w:val="4"/>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09"/>
        </w:trPr>
        <w:tc>
          <w:tcPr>
            <w:tcW w:w="5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447"/>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Routine homecare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5,356,050</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4,980,883</w:t>
            </w:r>
          </w:p>
        </w:tc>
        <w:tc>
          <w:tcPr>
            <w:tcW w:w="2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30"/>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Nursing home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910,534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923,458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Respite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35,684</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33,619</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7"/>
        </w:trPr>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Subtotal routine homecare and respite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6,302,268</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5,937,960</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30"/>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inpatient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90,671</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86,447</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Continuous care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55,065</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62,576</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96"/>
        </w:trPr>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days of care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6,448,004</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6,086,983</w:t>
            </w: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5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increase in service revenues at VITAS is comprised primarily of 5.9% increase in days-of-care and a geographically weighted average Medicare reimbursement rate increase of approximately 2.4%. Acuity mix shift negatively impacted revenue growth by 89-basis points in the year when compared to the prior year revenue and level-of-care mix. The combination of Medicare Cap and other contra revenue changes increased revenue growth by 159-basis points.</w:t>
      </w:r>
    </w:p>
    <w:p>
      <w:pPr>
        <w:spacing w:after="0" w:line="17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increase in plumbing revenues for the first nine months of 2026 versus 2025 is attributable to an 11.6% increase in price and service mix shift offset by a 5.3% decrease in job count. The increase in drain cleaning revenues for the first nine months of 2026 versus 2025 is attributable to an 8.5% increase in price and service mix offset by a 5.5% decrease in job count. The increase in excavation</w:t>
      </w: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2" w:name="page33"/>
    <w:bookmarkEnd w:id="32"/>
    <w:p>
      <w:pPr>
        <w:jc w:val="both"/>
        <w:spacing w:after="0" w:line="242" w:lineRule="auto"/>
        <w:rPr>
          <w:sz w:val="20"/>
          <w:szCs w:val="20"/>
          <w:color w:val="auto"/>
        </w:rPr>
      </w:pPr>
      <w:r>
        <w:rPr>
          <w:rFonts w:ascii="Times New Roman" w:cs="Times New Roman" w:eastAsia="Times New Roman" w:hAnsi="Times New Roman"/>
          <w:sz w:val="18"/>
          <w:szCs w:val="18"/>
          <w:color w:val="auto"/>
        </w:rPr>
        <w:t>revenues for the first nine months of 2026 versus 2025 is attributable to a 6.6% increase in price and service mix shift offset by a 1.8% decrease in job count. Water restoration revenues decreased 3.8%, and contractors operations decreased 1.8%. Implicit price concessions and credit memos decreased 21.6% mainly related to the improved collections in water restoration business.</w:t>
      </w:r>
    </w:p>
    <w:p>
      <w:pPr>
        <w:spacing w:after="0" w:line="15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consolidated gross margin was 33.2% in the first nine months of 2026 as compared with 31.8% in the first nine months of 2025. On a segment basis, VITAS’ gross margin was 23.9% in the first nine months of 2026 as compared with 21.5% in the first nine months of 2025. The increase was primarily related to increased revenues including a $21.1 million decrease in Medicare Cap billing limitation in the first nine months of 2026 compared to the first nine months of 2025 as well as continued focus on expense control. The Roto-Rooter segment’s gross margin was 50.6% for the first nine months of 2026 which was almost equal to the first nine months of 2025.</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(“SG&amp;A”) comprise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 before long-term incentive compensation and the impact of market value adjustments related to</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trusts</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324,428</w:t>
            </w:r>
          </w:p>
        </w:tc>
        <w:tc>
          <w:tcPr>
            <w:tcW w:w="180" w:type="dxa"/>
            <w:vAlign w:val="bottom"/>
          </w:tcPr>
          <w:p>
            <w:pPr>
              <w:spacing w:after="0"/>
              <w:rPr>
                <w:sz w:val="18"/>
                <w:szCs w:val="18"/>
                <w:color w:val="auto"/>
              </w:rPr>
            </w:pPr>
          </w:p>
        </w:tc>
        <w:tc>
          <w:tcPr>
            <w:tcW w:w="1180" w:type="dxa"/>
            <w:vAlign w:val="bottom"/>
          </w:tcPr>
          <w:p>
            <w:pPr>
              <w:jc w:val="right"/>
              <w:ind w:right="102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Impact of market value adjustments related to assets held in deferred compensation trusts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9,661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r>
      <w:tr>
        <w:trPr>
          <w:trHeight w:val="208"/>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6,904</w:t>
            </w:r>
          </w:p>
        </w:tc>
        <w:tc>
          <w:tcPr>
            <w:tcW w:w="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3,294</w:t>
            </w:r>
          </w:p>
        </w:tc>
      </w:tr>
      <w:tr>
        <w:trPr>
          <w:trHeight w:val="183"/>
        </w:trPr>
        <w:tc>
          <w:tcPr>
            <w:tcW w:w="756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SG&amp;A expenses</w:t>
            </w:r>
          </w:p>
        </w:tc>
        <w:tc>
          <w:tcPr>
            <w:tcW w:w="114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340,993</w:t>
            </w: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ind w:right="102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311,685</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 value adjustments related to deferred compensation trusts for the first nine months of 2026 were up 7.6% when compared to the first nine months of 2025. $11.1 million of this increase was the result of increased advertising at Roto-Rooter in the first nine months of 2026 compared to the first nine months of 2025. The remaining increase was the result of normal salary increases and increased incentive compensation.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expense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Legal settlements</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7,483</w:t>
            </w:r>
          </w:p>
        </w:tc>
        <w:tc>
          <w:tcPr>
            <w:tcW w:w="180" w:type="dxa"/>
            <w:vAlign w:val="bottom"/>
          </w:tcPr>
          <w:p>
            <w:pPr>
              <w:spacing w:after="0"/>
              <w:rPr>
                <w:sz w:val="18"/>
                <w:szCs w:val="18"/>
                <w:color w:val="auto"/>
              </w:rPr>
            </w:pPr>
          </w:p>
        </w:tc>
        <w:tc>
          <w:tcPr>
            <w:tcW w:w="1260" w:type="dxa"/>
            <w:vAlign w:val="bottom"/>
          </w:tcPr>
          <w:p>
            <w:pPr>
              <w:jc w:val="right"/>
              <w:ind w:right="110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257</w:t>
            </w:r>
          </w:p>
        </w:tc>
        <w:tc>
          <w:tcPr>
            <w:tcW w:w="1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operating (income)/expenses</w:t>
            </w:r>
          </w:p>
        </w:tc>
        <w:tc>
          <w:tcPr>
            <w:tcW w:w="122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7,740</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right"/>
              <w:ind w:right="110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3,075</w:t>
            </w: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 net comprise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40" w:type="dxa"/>
            <w:vAlign w:val="bottom"/>
            <w:tcBorders>
              <w:bottom w:val="single" w:sz="8" w:color="auto"/>
            </w:tcBorders>
          </w:tcPr>
          <w:p>
            <w:pPr>
              <w:spacing w:after="0"/>
              <w:rPr>
                <w:sz w:val="17"/>
                <w:szCs w:val="17"/>
                <w:color w:val="auto"/>
              </w:rPr>
            </w:pPr>
          </w:p>
        </w:tc>
      </w:tr>
      <w:tr>
        <w:trPr>
          <w:trHeight w:val="210"/>
        </w:trPr>
        <w:tc>
          <w:tcPr>
            <w:tcW w:w="7560" w:type="dxa"/>
            <w:vAlign w:val="bottom"/>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 on assets held in deferred compensation trusts</w:t>
            </w:r>
          </w:p>
        </w:tc>
        <w:tc>
          <w:tcPr>
            <w:tcW w:w="1180" w:type="dxa"/>
            <w:vAlign w:val="bottom"/>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9,661</w:t>
            </w:r>
          </w:p>
        </w:tc>
        <w:tc>
          <w:tcPr>
            <w:tcW w:w="180" w:type="dxa"/>
            <w:vAlign w:val="bottom"/>
          </w:tcPr>
          <w:p>
            <w:pPr>
              <w:spacing w:after="0"/>
              <w:rPr>
                <w:sz w:val="18"/>
                <w:szCs w:val="18"/>
                <w:color w:val="auto"/>
              </w:rPr>
            </w:pP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1,399</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w:t>
            </w:r>
          </w:p>
        </w:tc>
        <w:tc>
          <w:tcPr>
            <w:tcW w:w="1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 net</w:t>
            </w:r>
          </w:p>
        </w:tc>
        <w:tc>
          <w:tcPr>
            <w:tcW w:w="118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11,071</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13,970</w:t>
            </w:r>
          </w:p>
        </w:tc>
      </w:tr>
      <w:tr>
        <w:trPr>
          <w:trHeight w:val="20"/>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invest excess cash in money market funds with major commercial banks. We closely monitor the creditworthiness of the institutions with which we invest our overnight funds. Chemed invests excess cash in money market funds holding US Treasuries. Deposits and withdrawals are made daily, based on the Company’s excess cash balance. There are no penalties associated with withdrawals. The accounts bear interest at a normal market rate.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is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at the statutory federal rate</w:t>
            </w:r>
          </w:p>
        </w:tc>
        <w:tc>
          <w:tcPr>
            <w:tcW w:w="3860" w:type="dxa"/>
            <w:vAlign w:val="bottom"/>
            <w:gridSpan w:val="2"/>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58,144</w:t>
            </w:r>
          </w:p>
        </w:tc>
        <w:tc>
          <w:tcPr>
            <w:tcW w:w="400" w:type="dxa"/>
            <w:vAlign w:val="bottom"/>
          </w:tcPr>
          <w:p>
            <w:pPr>
              <w:spacing w:after="0"/>
              <w:rPr>
                <w:sz w:val="24"/>
                <w:szCs w:val="24"/>
                <w:color w:val="auto"/>
              </w:rPr>
            </w:pPr>
          </w:p>
        </w:tc>
        <w:tc>
          <w:tcPr>
            <w:tcW w:w="1040" w:type="dxa"/>
            <w:vAlign w:val="bottom"/>
          </w:tcPr>
          <w:p>
            <w:pPr>
              <w:jc w:val="right"/>
              <w:ind w:right="88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8,213</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 tax expense/(benefit)</w:t>
            </w: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1,022</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22"/>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28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3,845</w:t>
            </w:r>
          </w:p>
        </w:tc>
        <w:tc>
          <w:tcPr>
            <w:tcW w:w="4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820" w:type="dxa"/>
            <w:vAlign w:val="bottom"/>
          </w:tcPr>
          <w:p>
            <w:pPr>
              <w:spacing w:after="0"/>
              <w:rPr>
                <w:sz w:val="17"/>
                <w:szCs w:val="17"/>
                <w:color w:val="auto"/>
              </w:rPr>
            </w:pPr>
          </w:p>
        </w:tc>
        <w:tc>
          <w:tcPr>
            <w:tcW w:w="104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71,224</w:t>
            </w:r>
          </w:p>
        </w:tc>
        <w:tc>
          <w:tcPr>
            <w:tcW w:w="400" w:type="dxa"/>
            <w:vAlign w:val="bottom"/>
          </w:tcPr>
          <w:p>
            <w:pPr>
              <w:spacing w:after="0"/>
              <w:rPr>
                <w:sz w:val="17"/>
                <w:szCs w:val="17"/>
                <w:color w:val="auto"/>
              </w:rPr>
            </w:pPr>
          </w:p>
        </w:tc>
        <w:tc>
          <w:tcPr>
            <w:tcW w:w="104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25.7 </w:t>
            </w:r>
            <w:r>
              <w:rPr>
                <w:rFonts w:ascii="Times New Roman" w:cs="Times New Roman" w:eastAsia="Times New Roman" w:hAnsi="Times New Roman"/>
                <w:sz w:val="14"/>
                <w:szCs w:val="14"/>
                <w:color w:val="auto"/>
              </w:rPr>
              <w:t>%</w:t>
            </w:r>
          </w:p>
        </w:tc>
        <w:tc>
          <w:tcPr>
            <w:tcW w:w="10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20" w:type="dxa"/>
            <w:vAlign w:val="bottom"/>
            <w:vMerge w:val="restart"/>
          </w:tcPr>
          <w:p>
            <w:pPr>
              <w:jc w:val="right"/>
              <w:ind w:right="1619"/>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6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6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color w:val="auto"/>
        </w:rPr>
        <w:t>Net income for both periods include the following after tax items/adjustments that (reduce) or increased after tax earnings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Legal settlements</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(5,491)</w:t>
            </w:r>
          </w:p>
        </w:tc>
        <w:tc>
          <w:tcPr>
            <w:tcW w:w="1180" w:type="dxa"/>
            <w:vAlign w:val="bottom"/>
          </w:tcPr>
          <w:p>
            <w:pPr>
              <w:jc w:val="right"/>
              <w:ind w:right="102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 expense</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(5,412)</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 expense</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(1,497)</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option expense</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(20,638)</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(20,576)</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(6,189)</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Excess tax (expenses)/benefits on stock compensation</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(1,022)</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Legal settlements</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(238)</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(40,493)</w:t>
            </w:r>
          </w:p>
        </w:tc>
        <w:tc>
          <w:tcPr>
            <w:tcW w:w="1180" w:type="dxa"/>
            <w:vAlign w:val="bottom"/>
          </w:tcPr>
          <w:p>
            <w:pPr>
              <w:jc w:val="right"/>
              <w:ind w:right="102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September 30, 2026 versus 2025 - Segment Results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income/(loss) for the first nine months of 2026 versus the first nine months of 2025 by segment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40" w:type="dxa"/>
            <w:vAlign w:val="bottom"/>
            <w:tcBorders>
              <w:bottom w:val="single" w:sz="8" w:color="auto"/>
            </w:tcBorders>
          </w:tcPr>
          <w:p>
            <w:pPr>
              <w:spacing w:after="0"/>
              <w:rPr>
                <w:sz w:val="17"/>
                <w:szCs w:val="17"/>
                <w:color w:val="auto"/>
              </w:rPr>
            </w:pPr>
          </w:p>
        </w:tc>
      </w:tr>
      <w:tr>
        <w:trPr>
          <w:trHeight w:val="210"/>
        </w:trPr>
        <w:tc>
          <w:tcPr>
            <w:tcW w:w="3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2025</w:t>
            </w:r>
          </w:p>
        </w:tc>
      </w:tr>
      <w:tr>
        <w:trPr>
          <w:trHeight w:val="21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3940" w:type="dxa"/>
            <w:vAlign w:val="bottom"/>
            <w:gridSpan w:val="2"/>
          </w:tcPr>
          <w:p>
            <w:pPr>
              <w:jc w:val="right"/>
              <w:ind w:right="1484"/>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178,827</w:t>
            </w:r>
          </w:p>
        </w:tc>
        <w:tc>
          <w:tcPr>
            <w:tcW w:w="280" w:type="dxa"/>
            <w:vAlign w:val="bottom"/>
          </w:tcPr>
          <w:p>
            <w:pPr>
              <w:spacing w:after="0"/>
              <w:rPr>
                <w:sz w:val="18"/>
                <w:szCs w:val="18"/>
                <w:color w:val="auto"/>
              </w:rPr>
            </w:pP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135,021</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2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97,837</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103,928</w:t>
            </w:r>
          </w:p>
        </w:tc>
      </w:tr>
      <w:tr>
        <w:trPr>
          <w:trHeight w:val="22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2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(71,011)</w:t>
            </w:r>
          </w:p>
        </w:tc>
        <w:tc>
          <w:tcPr>
            <w:tcW w:w="1120" w:type="dxa"/>
            <w:vAlign w:val="bottom"/>
          </w:tcPr>
          <w:p>
            <w:pPr>
              <w:spacing w:after="0"/>
              <w:rPr>
                <w:sz w:val="19"/>
                <w:szCs w:val="19"/>
                <w:color w:val="auto"/>
              </w:rPr>
            </w:pPr>
          </w:p>
        </w:tc>
        <w:tc>
          <w:tcPr>
            <w:tcW w:w="164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(50,462)</w:t>
            </w:r>
          </w:p>
        </w:tc>
      </w:tr>
      <w:tr>
        <w:trPr>
          <w:trHeight w:val="196"/>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40" w:type="dxa"/>
            <w:vAlign w:val="bottom"/>
            <w:tcBorders>
              <w:top w:val="single" w:sz="8" w:color="auto"/>
              <w:bottom w:val="single" w:sz="8" w:color="auto"/>
            </w:tcBorders>
          </w:tcPr>
          <w:p>
            <w:pPr>
              <w:jc w:val="right"/>
              <w:ind w:right="14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28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188,487</w:t>
            </w:r>
          </w:p>
        </w:tc>
      </w:tr>
      <w:tr>
        <w:trPr>
          <w:trHeight w:val="20"/>
        </w:trPr>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After-tax earnings as a percent of revenue at VITAS in the first nine months of 2026 was 13.5% as compared to 11.1% in the first nine months of 2025. The increase was primarily related to increased revenues including a $21.1 million decrease in Medicare Cap liability in the first nine months of 2026 compared to the first nine months of 2025.</w:t>
      </w:r>
    </w:p>
    <w:p>
      <w:pPr>
        <w:spacing w:after="0" w:line="15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Roto-Rooter’s net income was negatively impacted in the first nine months of 2026 compared to the first nine months of 2025 due mainly to an increase in marketing, fuel, and acquisition expenses. Roto-Rooter’s after-tax earnings as a percent of revenue in the first nine months of 2026 was 14.0%, as compared to 15.3% in the first nine months of 2025.</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After-tax Corporate expenses for the first nine months of 2026 increased 40.7% when compared to the first nine months in 2025 due primarily to a $5.8 million decrease in interest income related to lower cash and investment balances, a $3.2 million increase in interest expense related to an increase in long-term debt as a result of stock repurchases and acquisitions, a $4.8 million increase in intercompany interest expense, a $3.3 million increase in stock-based compensation and a $1.5 million decrease in excess tax benefit related to reduced stock option exercises.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Chemed</w:t>
            </w:r>
          </w:p>
        </w:tc>
      </w:tr>
      <w:tr>
        <w:trPr>
          <w:trHeight w:val="205"/>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7"/>
                <w:szCs w:val="17"/>
                <w:color w:val="auto"/>
              </w:rPr>
            </w:pP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2026 (a)</w:t>
            </w:r>
          </w:p>
        </w:tc>
        <w:tc>
          <w:tcPr>
            <w:tcW w:w="900" w:type="dxa"/>
            <w:vAlign w:val="bottom"/>
            <w:tcBorders>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 revenues and sales</w:t>
            </w:r>
          </w:p>
        </w:tc>
        <w:tc>
          <w:tcPr>
            <w:tcW w:w="9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457,403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233,537</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690,940</w:t>
            </w:r>
          </w:p>
        </w:tc>
      </w:tr>
      <w:tr>
        <w:trPr>
          <w:trHeight w:val="204"/>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services provided and goods sold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341,993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115,985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457,978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71,033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111,469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14,427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2,974</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w:t>
            </w: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7,670</w:t>
            </w: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378,261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198,679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17,578</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594,518</w:t>
            </w:r>
          </w:p>
        </w:tc>
      </w:tr>
      <w:tr>
        <w:trPr>
          <w:trHeight w:val="204"/>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79,142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34,858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(17,578)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96,422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(145)</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(1,898)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Intercompany interest income/(expense)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(11,340)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income—net</w:t>
            </w: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2,383</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Income/(expense) before income taxes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85,978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39,292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(28,562)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96,708</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(9,152)</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(25,060)</w:t>
            </w:r>
          </w:p>
        </w:tc>
      </w:tr>
      <w:tr>
        <w:trPr>
          <w:trHeight w:val="183"/>
        </w:trPr>
        <w:tc>
          <w:tcPr>
            <w:tcW w:w="398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income/(loss)</w:t>
            </w:r>
          </w:p>
        </w:tc>
        <w:tc>
          <w:tcPr>
            <w:tcW w:w="9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65,708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30,140</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(24,200)</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The following amounts are included in net income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VITAS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Pretax benefit/(cost):</w:t>
            </w:r>
          </w:p>
        </w:tc>
        <w:tc>
          <w:tcPr>
            <w:tcW w:w="6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Legal settlements</w:t>
            </w:r>
          </w:p>
        </w:tc>
        <w:tc>
          <w:tcPr>
            <w:tcW w:w="1680" w:type="dxa"/>
            <w:vAlign w:val="bottom"/>
            <w:gridSpan w:val="2"/>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(6,705)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(7,013)</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 expense</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(5,984)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(3,151)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(3,151)</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 of reacquired franchise agreements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(2,352)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(2,352)</w:t>
            </w:r>
          </w:p>
        </w:tc>
        <w:tc>
          <w:tcPr>
            <w:tcW w:w="0" w:type="dxa"/>
            <w:vAlign w:val="bottom"/>
          </w:tcPr>
          <w:p>
            <w:pPr>
              <w:spacing w:after="0"/>
              <w:rPr>
                <w:sz w:val="1"/>
                <w:szCs w:val="1"/>
                <w:color w:val="auto"/>
              </w:rPr>
            </w:pPr>
          </w:p>
        </w:tc>
      </w:tr>
      <w:tr>
        <w:trPr>
          <w:trHeight w:val="209"/>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 expense</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(1,726)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(6,705)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(4,078)</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(9,443)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VITAS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After-tax benefit/(cost):</w:t>
            </w:r>
          </w:p>
        </w:tc>
        <w:tc>
          <w:tcPr>
            <w:tcW w:w="6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Legal settlements</w:t>
            </w:r>
          </w:p>
        </w:tc>
        <w:tc>
          <w:tcPr>
            <w:tcW w:w="1680" w:type="dxa"/>
            <w:vAlign w:val="bottom"/>
            <w:gridSpan w:val="2"/>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(5,076)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(5,314)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 expense</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(5,284)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(5,284)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(2,830)</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 of reacquired franchise agreements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(1,804)</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 expense</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(1,324)</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(1,324)</w:t>
            </w:r>
          </w:p>
        </w:tc>
        <w:tc>
          <w:tcPr>
            <w:tcW w:w="0" w:type="dxa"/>
            <w:vAlign w:val="bottom"/>
          </w:tcPr>
          <w:p>
            <w:pPr>
              <w:spacing w:after="0"/>
              <w:rPr>
                <w:sz w:val="1"/>
                <w:szCs w:val="1"/>
                <w:color w:val="auto"/>
              </w:rPr>
            </w:pPr>
          </w:p>
        </w:tc>
      </w:tr>
      <w:tr>
        <w:trPr>
          <w:trHeight w:val="208"/>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Excess tax expense on stock compensation</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(521)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(5,076)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(3,128)</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(8,873)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(17,077)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05"/>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7"/>
                <w:szCs w:val="17"/>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140" w:type="dxa"/>
            <w:vAlign w:val="bottom"/>
            <w:tcBorders>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217,159</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624,900</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107,128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425,143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105,775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96"/>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178,604</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19,879</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550,150</w:t>
            </w:r>
          </w:p>
        </w:tc>
        <w:tc>
          <w:tcPr>
            <w:tcW w:w="0" w:type="dxa"/>
            <w:vAlign w:val="bottom"/>
          </w:tcPr>
          <w:p>
            <w:pPr>
              <w:spacing w:after="0"/>
              <w:rPr>
                <w:sz w:val="1"/>
                <w:szCs w:val="1"/>
                <w:color w:val="auto"/>
              </w:rPr>
            </w:pPr>
          </w:p>
        </w:tc>
      </w:tr>
      <w:tr>
        <w:trPr>
          <w:trHeight w:val="204"/>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Income/(loss) from operations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38,555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(19,879)</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Intercompany interest income/(expense)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(9,715)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income—net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9,251</w:t>
            </w:r>
          </w:p>
        </w:tc>
        <w:tc>
          <w:tcPr>
            <w:tcW w:w="0" w:type="dxa"/>
            <w:vAlign w:val="bottom"/>
          </w:tcPr>
          <w:p>
            <w:pPr>
              <w:spacing w:after="0"/>
              <w:rPr>
                <w:sz w:val="1"/>
                <w:szCs w:val="1"/>
                <w:color w:val="auto"/>
              </w:rPr>
            </w:pPr>
          </w:p>
        </w:tc>
      </w:tr>
      <w:tr>
        <w:trPr>
          <w:trHeight w:val="204"/>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Income/(expense) before income taxes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(20,698)</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83,544</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(14,993)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(10,407)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(19,307)</w:t>
            </w:r>
          </w:p>
        </w:tc>
        <w:tc>
          <w:tcPr>
            <w:tcW w:w="0" w:type="dxa"/>
            <w:vAlign w:val="bottom"/>
          </w:tcPr>
          <w:p>
            <w:pPr>
              <w:spacing w:after="0"/>
              <w:rPr>
                <w:sz w:val="1"/>
                <w:szCs w:val="1"/>
                <w:color w:val="auto"/>
              </w:rPr>
            </w:pPr>
          </w:p>
        </w:tc>
      </w:tr>
      <w:tr>
        <w:trPr>
          <w:trHeight w:val="209"/>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income/(loss)</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  The following amounts are included in net income (in thousands):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Pretax benefit/(cost):</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expense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(6,067)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Legal settlements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208"/>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(2,665)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(2,850)</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(2,352)</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(8,516)</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8"/>
                <w:szCs w:val="18"/>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After-tax benefit/(cost):</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expense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(5,259)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Legal settlements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(1,806)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09"/>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(2,665)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(2,152)</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(1,806)</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(7,711)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Chemed</w:t>
            </w:r>
          </w:p>
        </w:tc>
      </w:tr>
      <w:tr>
        <w:trPr>
          <w:trHeight w:val="205"/>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7"/>
                <w:szCs w:val="17"/>
                <w:color w:val="auto"/>
              </w:rPr>
            </w:pP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2026 (a)</w:t>
            </w:r>
          </w:p>
        </w:tc>
        <w:tc>
          <w:tcPr>
            <w:tcW w:w="900" w:type="dxa"/>
            <w:vAlign w:val="bottom"/>
            <w:tcBorders>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 revenues and sales</w:t>
            </w:r>
          </w:p>
        </w:tc>
        <w:tc>
          <w:tcPr>
            <w:tcW w:w="9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1,320,762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700,942</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2,021,704</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services provided and goods sold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1,005,150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346,357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1,351,507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75,314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206,335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59,344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340,993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42,997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expense</w:t>
            </w: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7,740</w:t>
            </w: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1,105,458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586,432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59,610</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1,751,500</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215,304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114,510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(59,610)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270,204</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(466)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(3,774)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(4,398)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Intercompany interest income/(expense)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(33,145)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income—net</w:t>
            </w: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10,755</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11,071</w:t>
            </w:r>
          </w:p>
        </w:tc>
      </w:tr>
      <w:tr>
        <w:trPr>
          <w:trHeight w:val="204"/>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Income/(expense) before income taxes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234,915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127,736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(85,774)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276,877</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(56,088)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(29,899)</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(71,224)</w:t>
            </w:r>
          </w:p>
        </w:tc>
      </w:tr>
      <w:tr>
        <w:trPr>
          <w:trHeight w:val="183"/>
        </w:trPr>
        <w:tc>
          <w:tcPr>
            <w:tcW w:w="398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income/(loss)</w:t>
            </w:r>
          </w:p>
        </w:tc>
        <w:tc>
          <w:tcPr>
            <w:tcW w:w="9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178,827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97,837</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(71,011)</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120015</wp:posOffset>
            </wp:positionV>
            <wp:extent cx="4037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The following amounts are included in net income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VITAS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Pretax benefit/(cost):</w:t>
            </w:r>
          </w:p>
        </w:tc>
        <w:tc>
          <w:tcPr>
            <w:tcW w:w="6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 expense</w:t>
            </w:r>
          </w:p>
        </w:tc>
        <w:tc>
          <w:tcPr>
            <w:tcW w:w="1680" w:type="dxa"/>
            <w:vAlign w:val="bottom"/>
            <w:gridSpan w:val="2"/>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(24,285)</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(24,285)</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Legal settlements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(7,253)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(7,561)</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 of reacquired franchise agreements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(7,056)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(7,056)</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(6,904)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(6,904)</w:t>
            </w:r>
          </w:p>
        </w:tc>
        <w:tc>
          <w:tcPr>
            <w:tcW w:w="0" w:type="dxa"/>
            <w:vAlign w:val="bottom"/>
          </w:tcPr>
          <w:p>
            <w:pPr>
              <w:spacing w:after="0"/>
              <w:rPr>
                <w:sz w:val="1"/>
                <w:szCs w:val="1"/>
                <w:color w:val="auto"/>
              </w:rPr>
            </w:pPr>
          </w:p>
        </w:tc>
      </w:tr>
      <w:tr>
        <w:trPr>
          <w:trHeight w:val="208"/>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 expense</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(1,953)</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(1,961)</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(7,261)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(9,009)</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(31,497)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(47,767)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VITAS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After-tax benefit/(cost):</w:t>
            </w:r>
          </w:p>
        </w:tc>
        <w:tc>
          <w:tcPr>
            <w:tcW w:w="6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 expense</w:t>
            </w:r>
          </w:p>
        </w:tc>
        <w:tc>
          <w:tcPr>
            <w:tcW w:w="1680" w:type="dxa"/>
            <w:vAlign w:val="bottom"/>
            <w:gridSpan w:val="2"/>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(20,638)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(20,638)</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(6,189)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(6,189)</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Legal settlements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(5,491)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(5,729)</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 of reacquired franchise agreements</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(5,412)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(5,412)</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 expense</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(1,497)</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(1,503)</w:t>
            </w:r>
          </w:p>
        </w:tc>
        <w:tc>
          <w:tcPr>
            <w:tcW w:w="0" w:type="dxa"/>
            <w:vAlign w:val="bottom"/>
          </w:tcPr>
          <w:p>
            <w:pPr>
              <w:spacing w:after="0"/>
              <w:rPr>
                <w:sz w:val="1"/>
                <w:szCs w:val="1"/>
                <w:color w:val="auto"/>
              </w:rPr>
            </w:pPr>
          </w:p>
        </w:tc>
      </w:tr>
      <w:tr>
        <w:trPr>
          <w:trHeight w:val="208"/>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Excess tax expense on stock compensation</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(1,022)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(1,022)</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(5,497)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(6,909)</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(28,087)</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(40,493)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05"/>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7"/>
                <w:szCs w:val="17"/>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140" w:type="dxa"/>
            <w:vAlign w:val="bottom"/>
            <w:tcBorders>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1,211,341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679,300</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1,890,641</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951,466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1,289,778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311,685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196"/>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1,047,423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554,622</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51,004</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1,653,049</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Income/(loss) from operations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(51,004)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Intercompany interest income/(expense)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(28,366)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13,970</w:t>
            </w:r>
          </w:p>
        </w:tc>
        <w:tc>
          <w:tcPr>
            <w:tcW w:w="0" w:type="dxa"/>
            <w:vAlign w:val="bottom"/>
          </w:tcPr>
          <w:p>
            <w:pPr>
              <w:spacing w:after="0"/>
              <w:rPr>
                <w:sz w:val="1"/>
                <w:szCs w:val="1"/>
                <w:color w:val="auto"/>
              </w:rPr>
            </w:pPr>
          </w:p>
        </w:tc>
      </w:tr>
      <w:tr>
        <w:trPr>
          <w:trHeight w:val="204"/>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Income/(expense) before income taxes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180,374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136,272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(66,313)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250,333</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(45,353)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(32,344)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(61,846)</w:t>
            </w:r>
          </w:p>
        </w:tc>
        <w:tc>
          <w:tcPr>
            <w:tcW w:w="0" w:type="dxa"/>
            <w:vAlign w:val="bottom"/>
          </w:tcPr>
          <w:p>
            <w:pPr>
              <w:spacing w:after="0"/>
              <w:rPr>
                <w:sz w:val="1"/>
                <w:szCs w:val="1"/>
                <w:color w:val="auto"/>
              </w:rPr>
            </w:pPr>
          </w:p>
        </w:tc>
      </w:tr>
      <w:tr>
        <w:trPr>
          <w:trHeight w:val="183"/>
        </w:trPr>
        <w:tc>
          <w:tcPr>
            <w:tcW w:w="474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Net income/(loss)</w:t>
            </w: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103,928</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(50,462)</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  The following amounts are included in net income (in thousands):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Pretax benefit/(cost):</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expense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(24,374)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(24,374)</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(7,056)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(3,294)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Legal settlements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08"/>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(2,665)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(2,850)</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(7,056)</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(30,333)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After-tax benefit/(cost):</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expense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(20,576)</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(20,576)</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(5,419)</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(2,915)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Legal settlements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Excess tax benefits on stock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08"/>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(2,665)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(2,152)</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(5,419)</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(25,643)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38" w:name="page39"/>
    <w:bookmarkEnd w:id="38"/>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Unaudited Consolidating Summary and Reconciliation of Adjusted EBITDA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2026</w:t>
            </w: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89"/>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65,708</w:t>
            </w:r>
          </w:p>
        </w:tc>
        <w:tc>
          <w:tcPr>
            <w:tcW w:w="80" w:type="dxa"/>
            <w:vAlign w:val="bottom"/>
          </w:tcPr>
          <w:p>
            <w:pPr>
              <w:spacing w:after="0"/>
              <w:rPr>
                <w:sz w:val="24"/>
                <w:szCs w:val="24"/>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30,140</w:t>
            </w:r>
          </w:p>
        </w:tc>
        <w:tc>
          <w:tcPr>
            <w:tcW w:w="18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(24,200)</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2,097</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9,152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(4,362)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25,060</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8,624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14,427</w:t>
            </w:r>
          </w:p>
        </w:tc>
        <w:tc>
          <w:tcPr>
            <w:tcW w:w="0" w:type="dxa"/>
            <w:vAlign w:val="bottom"/>
          </w:tcPr>
          <w:p>
            <w:pPr>
              <w:spacing w:after="0"/>
              <w:rPr>
                <w:sz w:val="1"/>
                <w:szCs w:val="1"/>
                <w:color w:val="auto"/>
              </w:rPr>
            </w:pPr>
          </w:p>
        </w:tc>
      </w:tr>
      <w:tr>
        <w:trPr>
          <w:trHeight w:val="199"/>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2,974</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91,848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51,010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(26,652)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116,206</w:t>
            </w: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Intercompany interest expense/(income)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(6,766)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(4,574)</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11,340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Legal settlements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7,013</w:t>
            </w:r>
          </w:p>
        </w:tc>
        <w:tc>
          <w:tcPr>
            <w:tcW w:w="0" w:type="dxa"/>
            <w:vAlign w:val="bottom"/>
          </w:tcPr>
          <w:p>
            <w:pPr>
              <w:spacing w:after="0"/>
              <w:rPr>
                <w:sz w:val="1"/>
                <w:szCs w:val="1"/>
                <w:color w:val="auto"/>
              </w:rPr>
            </w:pPr>
          </w:p>
        </w:tc>
      </w:tr>
      <w:tr>
        <w:trPr>
          <w:trHeight w:val="202"/>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3,151</w:t>
            </w:r>
          </w:p>
        </w:tc>
        <w:tc>
          <w:tcPr>
            <w:tcW w:w="0" w:type="dxa"/>
            <w:vAlign w:val="bottom"/>
          </w:tcPr>
          <w:p>
            <w:pPr>
              <w:spacing w:after="0"/>
              <w:rPr>
                <w:sz w:val="1"/>
                <w:szCs w:val="1"/>
                <w:color w:val="auto"/>
              </w:rPr>
            </w:pPr>
          </w:p>
        </w:tc>
      </w:tr>
      <w:tr>
        <w:trPr>
          <w:trHeight w:val="199"/>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Acquisition expense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1,726</w:t>
            </w:r>
          </w:p>
        </w:tc>
        <w:tc>
          <w:tcPr>
            <w:tcW w:w="0" w:type="dxa"/>
            <w:vAlign w:val="bottom"/>
          </w:tcPr>
          <w:p>
            <w:pPr>
              <w:spacing w:after="0"/>
              <w:rPr>
                <w:sz w:val="1"/>
                <w:szCs w:val="1"/>
                <w:color w:val="auto"/>
              </w:rPr>
            </w:pPr>
          </w:p>
        </w:tc>
      </w:tr>
      <w:tr>
        <w:trPr>
          <w:trHeight w:val="169"/>
        </w:trPr>
        <w:tc>
          <w:tcPr>
            <w:tcW w:w="39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91,674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48,157</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133,785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Chemed</w:t>
            </w:r>
          </w:p>
        </w:tc>
        <w:tc>
          <w:tcPr>
            <w:tcW w:w="0" w:type="dxa"/>
            <w:vAlign w:val="bottom"/>
          </w:tcPr>
          <w:p>
            <w:pPr>
              <w:spacing w:after="0"/>
              <w:rPr>
                <w:sz w:val="1"/>
                <w:szCs w:val="1"/>
                <w:color w:val="auto"/>
              </w:rPr>
            </w:pPr>
          </w:p>
        </w:tc>
      </w:tr>
      <w:tr>
        <w:trPr>
          <w:trHeight w:val="222"/>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three months ended September 30, 2025</w:t>
            </w: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VITAS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Roto-Rooter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388"/>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income/(loss)</w:t>
            </w: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46,771</w:t>
            </w:r>
          </w:p>
        </w:tc>
        <w:tc>
          <w:tcPr>
            <w:tcW w:w="80" w:type="dxa"/>
            <w:vAlign w:val="bottom"/>
          </w:tcPr>
          <w:p>
            <w:pPr>
              <w:spacing w:after="0"/>
              <w:rPr>
                <w:sz w:val="24"/>
                <w:szCs w:val="24"/>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32,071</w:t>
            </w:r>
          </w:p>
        </w:tc>
        <w:tc>
          <w:tcPr>
            <w:tcW w:w="18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(14,605)</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Add/(deduct):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Income taxes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(6,093)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19,307</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13,664</w:t>
            </w:r>
          </w:p>
        </w:tc>
        <w:tc>
          <w:tcPr>
            <w:tcW w:w="0" w:type="dxa"/>
            <w:vAlign w:val="bottom"/>
          </w:tcPr>
          <w:p>
            <w:pPr>
              <w:spacing w:after="0"/>
              <w:rPr>
                <w:sz w:val="1"/>
                <w:szCs w:val="1"/>
                <w:color w:val="auto"/>
              </w:rPr>
            </w:pPr>
          </w:p>
        </w:tc>
      </w:tr>
      <w:tr>
        <w:trPr>
          <w:trHeight w:val="199"/>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EBITDA</w:t>
            </w: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(20,417)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100,235</w:t>
            </w: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Add/(deduct):</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Intercompany interest expense/(income)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(5,685)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(4,030)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income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 option expense</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0" w:type="dxa"/>
            <w:vAlign w:val="bottom"/>
          </w:tcPr>
          <w:p>
            <w:pPr>
              <w:spacing w:after="0"/>
              <w:rPr>
                <w:sz w:val="1"/>
                <w:szCs w:val="1"/>
                <w:color w:val="auto"/>
              </w:rPr>
            </w:pPr>
          </w:p>
        </w:tc>
      </w:tr>
      <w:tr>
        <w:trPr>
          <w:trHeight w:val="203"/>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Legal settlements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9"/>
        </w:trPr>
        <w:tc>
          <w:tcPr>
            <w:tcW w:w="3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Adjusted EBITDA</w:t>
            </w:r>
          </w:p>
        </w:tc>
        <w:tc>
          <w:tcPr>
            <w:tcW w:w="102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49,397</w:t>
            </w:r>
          </w:p>
        </w:tc>
        <w:tc>
          <w:tcPr>
            <w:tcW w:w="18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(4,648)</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9" w:name="page40"/>
    <w:bookmarkEnd w:id="39"/>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Unaudited Consolidating Summary and Reconciliation of Adjusted EBITDA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2026</w:t>
            </w: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88"/>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178,827</w:t>
            </w:r>
          </w:p>
        </w:tc>
        <w:tc>
          <w:tcPr>
            <w:tcW w:w="80" w:type="dxa"/>
            <w:vAlign w:val="bottom"/>
          </w:tcPr>
          <w:p>
            <w:pPr>
              <w:spacing w:after="0"/>
              <w:rPr>
                <w:sz w:val="24"/>
                <w:szCs w:val="24"/>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97,837</w:t>
            </w:r>
          </w:p>
        </w:tc>
        <w:tc>
          <w:tcPr>
            <w:tcW w:w="18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(71,011)</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3,774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4,398</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56,088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29,899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(14,763)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71,224</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25,477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42,997</w:t>
            </w:r>
          </w:p>
        </w:tc>
        <w:tc>
          <w:tcPr>
            <w:tcW w:w="0" w:type="dxa"/>
            <w:vAlign w:val="bottom"/>
          </w:tcPr>
          <w:p>
            <w:pPr>
              <w:spacing w:after="0"/>
              <w:rPr>
                <w:sz w:val="1"/>
                <w:szCs w:val="1"/>
                <w:color w:val="auto"/>
              </w:rPr>
            </w:pPr>
          </w:p>
        </w:tc>
      </w:tr>
      <w:tr>
        <w:trPr>
          <w:trHeight w:val="199"/>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8,185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8,263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252,635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161,864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(81,964)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332,535</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Intercompany interest expense/(income)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(19,484)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(13,661)</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33,145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(1,094)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(1,399)</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24,285</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Legal settlements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7,561</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6,904</w:t>
            </w:r>
          </w:p>
        </w:tc>
        <w:tc>
          <w:tcPr>
            <w:tcW w:w="0" w:type="dxa"/>
            <w:vAlign w:val="bottom"/>
          </w:tcPr>
          <w:p>
            <w:pPr>
              <w:spacing w:after="0"/>
              <w:rPr>
                <w:sz w:val="1"/>
                <w:szCs w:val="1"/>
                <w:color w:val="auto"/>
              </w:rPr>
            </w:pPr>
          </w:p>
        </w:tc>
      </w:tr>
      <w:tr>
        <w:trPr>
          <w:trHeight w:val="226"/>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Acquisition expense</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1,961</w:t>
            </w:r>
          </w:p>
        </w:tc>
        <w:tc>
          <w:tcPr>
            <w:tcW w:w="0" w:type="dxa"/>
            <w:vAlign w:val="bottom"/>
          </w:tcPr>
          <w:p>
            <w:pPr>
              <w:spacing w:after="0"/>
              <w:rPr>
                <w:sz w:val="1"/>
                <w:szCs w:val="1"/>
                <w:color w:val="auto"/>
              </w:rPr>
            </w:pPr>
          </w:p>
        </w:tc>
      </w:tr>
      <w:tr>
        <w:trPr>
          <w:trHeight w:val="169"/>
        </w:trPr>
        <w:tc>
          <w:tcPr>
            <w:tcW w:w="3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240,138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150,125</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(18,416)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371,847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Chemed</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nine months ended September 30, 2025</w:t>
            </w: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VITAS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Roto-Rooter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389"/>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income/(loss)</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135,021</w:t>
            </w:r>
          </w:p>
        </w:tc>
        <w:tc>
          <w:tcPr>
            <w:tcW w:w="80" w:type="dxa"/>
            <w:vAlign w:val="bottom"/>
          </w:tcPr>
          <w:p>
            <w:pPr>
              <w:spacing w:after="0"/>
              <w:rPr>
                <w:sz w:val="24"/>
                <w:szCs w:val="24"/>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103,928</w:t>
            </w:r>
          </w:p>
        </w:tc>
        <w:tc>
          <w:tcPr>
            <w:tcW w:w="18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(50,462)</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Income taxes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45,353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(15,851)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61,846</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40,798</w:t>
            </w:r>
          </w:p>
        </w:tc>
        <w:tc>
          <w:tcPr>
            <w:tcW w:w="0" w:type="dxa"/>
            <w:vAlign w:val="bottom"/>
          </w:tcPr>
          <w:p>
            <w:pPr>
              <w:spacing w:after="0"/>
              <w:rPr>
                <w:sz w:val="1"/>
                <w:szCs w:val="1"/>
                <w:color w:val="auto"/>
              </w:rPr>
            </w:pPr>
          </w:p>
        </w:tc>
      </w:tr>
      <w:tr>
        <w:trPr>
          <w:trHeight w:val="199"/>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7,713</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EBITDA</w:t>
            </w: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169,200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(65,592)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300,073</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Intercompany interest expense/(income)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(16,436)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(11,930)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(7,186)</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 option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24,374</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Legal settlements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199"/>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Adjusted EBITDA</w:t>
            </w:r>
          </w:p>
        </w:tc>
        <w:tc>
          <w:tcPr>
            <w:tcW w:w="10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157,212</w:t>
            </w:r>
          </w:p>
        </w:tc>
        <w:tc>
          <w:tcPr>
            <w:tcW w:w="18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(13,845)</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0" w:type="dxa"/>
            <w:vAlign w:val="bottom"/>
            <w:tcBorders>
              <w:bottom w:val="single" w:sz="8" w:color="auto"/>
            </w:tcBorders>
            <w:gridSpan w:val="6"/>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 reported</w:t>
            </w:r>
          </w:p>
        </w:tc>
        <w:tc>
          <w:tcPr>
            <w:tcW w:w="1740" w:type="dxa"/>
            <w:vAlign w:val="bottom"/>
            <w:gridSpan w:val="2"/>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71,648</w:t>
            </w:r>
          </w:p>
        </w:tc>
        <w:tc>
          <w:tcPr>
            <w:tcW w:w="80" w:type="dxa"/>
            <w:vAlign w:val="bottom"/>
          </w:tcPr>
          <w:p>
            <w:pPr>
              <w:spacing w:after="0"/>
              <w:rPr>
                <w:sz w:val="16"/>
                <w:szCs w:val="16"/>
                <w:color w:val="auto"/>
              </w:rPr>
            </w:pP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64,237</w:t>
            </w:r>
          </w:p>
        </w:tc>
        <w:tc>
          <w:tcPr>
            <w:tcW w:w="80" w:type="dxa"/>
            <w:vAlign w:val="bottom"/>
          </w:tcPr>
          <w:p>
            <w:pPr>
              <w:spacing w:after="0"/>
              <w:rPr>
                <w:sz w:val="16"/>
                <w:szCs w:val="16"/>
                <w:color w:val="auto"/>
              </w:rPr>
            </w:pPr>
          </w:p>
        </w:tc>
        <w:tc>
          <w:tcPr>
            <w:tcW w:w="30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205,653</w:t>
            </w:r>
          </w:p>
        </w:tc>
        <w:tc>
          <w:tcPr>
            <w:tcW w:w="80" w:type="dxa"/>
            <w:vAlign w:val="bottom"/>
          </w:tcPr>
          <w:p>
            <w:pPr>
              <w:spacing w:after="0"/>
              <w:rPr>
                <w:sz w:val="16"/>
                <w:szCs w:val="16"/>
                <w:color w:val="auto"/>
              </w:rPr>
            </w:pP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188,487</w:t>
            </w: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Add/(deduct) pre-tax cost of:</w:t>
            </w: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 expense</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24,374</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Legal settlements</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0" w:type="dxa"/>
            <w:vAlign w:val="bottom"/>
          </w:tcPr>
          <w:p>
            <w:pPr>
              <w:spacing w:after="0"/>
              <w:rPr>
                <w:sz w:val="1"/>
                <w:szCs w:val="1"/>
                <w:color w:val="auto"/>
              </w:rPr>
            </w:pPr>
          </w:p>
        </w:tc>
      </w:tr>
      <w:tr>
        <w:trPr>
          <w:trHeight w:val="202"/>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expense</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Add/(deduct) tax impacts:</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impact of the above pre-tax adjustments (1)</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(3,670)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(8,296)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w:t>
            </w:r>
          </w:p>
        </w:tc>
        <w:tc>
          <w:tcPr>
            <w:tcW w:w="0" w:type="dxa"/>
            <w:vAlign w:val="bottom"/>
          </w:tcPr>
          <w:p>
            <w:pPr>
              <w:spacing w:after="0"/>
              <w:rPr>
                <w:sz w:val="1"/>
                <w:szCs w:val="1"/>
                <w:color w:val="auto"/>
              </w:rPr>
            </w:pPr>
          </w:p>
        </w:tc>
      </w:tr>
      <w:tr>
        <w:trPr>
          <w:trHeight w:val="199"/>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Excess tax expense/(benefit) on stock compensation</w:t>
            </w: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69"/>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Adjusted net income</w:t>
            </w:r>
          </w:p>
        </w:tc>
        <w:tc>
          <w:tcPr>
            <w:tcW w:w="7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88,725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246,146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221,701</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Earnings Per Share As Reported</w:t>
            </w:r>
          </w:p>
        </w:tc>
        <w:tc>
          <w:tcPr>
            <w:tcW w:w="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20" w:type="dxa"/>
            <w:vAlign w:val="bottom"/>
            <w:vMerge w:val="continue"/>
          </w:tcPr>
          <w:p>
            <w:pPr>
              <w:spacing w:after="0"/>
              <w:rPr>
                <w:sz w:val="24"/>
                <w:szCs w:val="24"/>
                <w:color w:val="auto"/>
              </w:rPr>
            </w:pPr>
          </w:p>
        </w:tc>
        <w:tc>
          <w:tcPr>
            <w:tcW w:w="1740" w:type="dxa"/>
            <w:vAlign w:val="bottom"/>
            <w:gridSpan w:val="2"/>
            <w:vMerge w:val="restart"/>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7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13,135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14,409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13,329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14,620</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Diluted Earnings Per Share</w:t>
            </w:r>
          </w:p>
        </w:tc>
        <w:tc>
          <w:tcPr>
            <w:tcW w:w="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20" w:type="dxa"/>
            <w:vAlign w:val="bottom"/>
            <w:vMerge w:val="continue"/>
          </w:tcPr>
          <w:p>
            <w:pPr>
              <w:spacing w:after="0"/>
              <w:rPr>
                <w:sz w:val="24"/>
                <w:szCs w:val="24"/>
                <w:color w:val="auto"/>
              </w:rPr>
            </w:pPr>
          </w:p>
        </w:tc>
        <w:tc>
          <w:tcPr>
            <w:tcW w:w="1740" w:type="dxa"/>
            <w:vAlign w:val="bottom"/>
            <w:gridSpan w:val="2"/>
            <w:vMerge w:val="restart"/>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18.47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 net income</w:t>
            </w:r>
          </w:p>
        </w:tc>
        <w:tc>
          <w:tcPr>
            <w:tcW w:w="17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Adjusted average number of shares outstanding</w:t>
            </w:r>
          </w:p>
        </w:tc>
        <w:tc>
          <w:tcPr>
            <w:tcW w:w="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13,135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14,409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13,329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14,620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tax impact of pre-tax adjustments was calculated using the effective tax rate of the operating unit for which each adjustment is associated.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1" w:name="page42"/>
    <w:bookmarkEnd w:id="41"/>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CHEMED CORPORATION AND SUBSIDIARY COMPANIES</w:t>
      </w:r>
    </w:p>
    <w:p>
      <w:pPr>
        <w:spacing w:after="0" w:line="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OPERATING STATISTICS FOR VITAS SEGMENT</w:t>
      </w:r>
    </w:p>
    <w:p>
      <w:pPr>
        <w:spacing w:after="0" w:line="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OPERATING STATISTICS</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20" w:type="dxa"/>
            <w:vAlign w:val="bottom"/>
            <w:gridSpan w:val="5"/>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gridSpan w:val="7"/>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3"/>
                <w:szCs w:val="13"/>
                <w:color w:val="auto"/>
              </w:rPr>
              <w:t>2025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revenue ($000)</w:t>
            </w:r>
          </w:p>
        </w:tc>
        <w:tc>
          <w:tcPr>
            <w:tcW w:w="70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405,969</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1,168,407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Homecare</w:t>
            </w:r>
          </w:p>
        </w:tc>
        <w:tc>
          <w:tcPr>
            <w:tcW w:w="70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362,405</w:t>
            </w:r>
          </w:p>
        </w:tc>
        <w:tc>
          <w:tcPr>
            <w:tcW w:w="38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400" w:type="dxa"/>
            <w:vAlign w:val="bottom"/>
            <w:gridSpan w:val="2"/>
          </w:tcPr>
          <w:p>
            <w:pPr>
              <w:jc w:val="right"/>
              <w:ind w:right="208"/>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1,072,014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Inpatient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36,407</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33,099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108,006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100,145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Continuous care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21,159</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19,946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58,689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6,421</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5,807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18,204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w:t>
            </w:r>
          </w:p>
        </w:tc>
        <w:tc>
          <w:tcPr>
            <w:tcW w:w="380" w:type="dxa"/>
            <w:vAlign w:val="bottom"/>
          </w:tcPr>
          <w:p>
            <w:pPr>
              <w:spacing w:after="0"/>
              <w:rPr>
                <w:sz w:val="12"/>
                <w:szCs w:val="12"/>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469,956</w:t>
            </w:r>
          </w:p>
        </w:tc>
        <w:tc>
          <w:tcPr>
            <w:tcW w:w="260" w:type="dxa"/>
            <w:vAlign w:val="bottom"/>
          </w:tcPr>
          <w:p>
            <w:pPr>
              <w:spacing w:after="0"/>
              <w:rPr>
                <w:sz w:val="12"/>
                <w:szCs w:val="12"/>
                <w:color w:val="auto"/>
              </w:rPr>
            </w:pPr>
          </w:p>
        </w:tc>
        <w:tc>
          <w:tcPr>
            <w:tcW w:w="3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421,257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1,353,306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1,257,279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Room and board, net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(3,982)</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(3,859)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(11,178)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Contractual allowances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(7,743)</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(3,571)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(17,663)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Medicare cap allowance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(828)</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(6,086)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(3,703)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(24,786)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6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457,403</w:t>
            </w:r>
          </w:p>
        </w:tc>
        <w:tc>
          <w:tcPr>
            <w:tcW w:w="26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407,741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1,320,762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1,211,341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Net revenue as a percent of total before Medicare cap allowances</w:t>
            </w: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86.4%</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86.3%</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Homecare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0" w:type="dxa"/>
            <w:vAlign w:val="bottom"/>
          </w:tcPr>
          <w:p>
            <w:pPr>
              <w:spacing w:after="0"/>
              <w:rPr>
                <w:sz w:val="1"/>
                <w:szCs w:val="1"/>
                <w:color w:val="auto"/>
              </w:rPr>
            </w:pPr>
          </w:p>
        </w:tc>
      </w:tr>
      <w:tr>
        <w:trPr>
          <w:trHeight w:val="162"/>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Inpatient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7.7</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Continuous care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4.5</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4.7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1.4</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w:t>
            </w:r>
          </w:p>
        </w:tc>
        <w:tc>
          <w:tcPr>
            <w:tcW w:w="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Room and board, net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(0.8)</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(0.8)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Contractual allowances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(1.7)</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Medicare cap allowance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(0.2)</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(0.3)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6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97.3</w:t>
            </w:r>
          </w:p>
        </w:tc>
        <w:tc>
          <w:tcPr>
            <w:tcW w:w="2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97.0</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97.6</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96.3</w:t>
            </w:r>
          </w:p>
        </w:tc>
        <w:tc>
          <w:tcPr>
            <w:tcW w:w="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Days of care</w:t>
            </w: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1,872,071</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5,356,050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Homecare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1,685,859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4,980,883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Nursing home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312,663</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309,192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910,534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923,458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Respite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12,502</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12,184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35,684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 routine homecare and respite</w:t>
            </w:r>
          </w:p>
        </w:tc>
        <w:tc>
          <w:tcPr>
            <w:tcW w:w="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2,197,236</w:t>
            </w: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2,007,235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6,302,268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5,937,960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Inpatient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30,494</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28,530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90,671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Continuous care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19,683</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18,309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55,065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62,576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6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2,247,413</w:t>
            </w:r>
          </w:p>
        </w:tc>
        <w:tc>
          <w:tcPr>
            <w:tcW w:w="2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2,054,074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6,448,004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6,086,983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Number of days in relevant time period</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92</w:t>
            </w:r>
          </w:p>
        </w:tc>
        <w:tc>
          <w:tcPr>
            <w:tcW w:w="320" w:type="dxa"/>
            <w:vAlign w:val="bottom"/>
          </w:tcPr>
          <w:p>
            <w:pPr>
              <w:spacing w:after="0"/>
              <w:rPr>
                <w:sz w:val="24"/>
                <w:szCs w:val="2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273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Average daily census (days)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20,348</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19,619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Homecare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18,325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Nursing home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3,399</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3,361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3,335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Respite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136</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132</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131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 routine homecare and respite</w:t>
            </w:r>
          </w:p>
        </w:tc>
        <w:tc>
          <w:tcPr>
            <w:tcW w:w="3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23,883</w:t>
            </w: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Inpatient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331</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310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Continuous care</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214</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199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6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24,428</w:t>
            </w:r>
          </w:p>
        </w:tc>
        <w:tc>
          <w:tcPr>
            <w:tcW w:w="2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22,327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23,619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22,297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Total Admissions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18,995</w:t>
            </w:r>
          </w:p>
        </w:tc>
        <w:tc>
          <w:tcPr>
            <w:tcW w:w="320" w:type="dxa"/>
            <w:vAlign w:val="bottom"/>
          </w:tcPr>
          <w:p>
            <w:pPr>
              <w:spacing w:after="0"/>
              <w:rPr>
                <w:sz w:val="24"/>
                <w:szCs w:val="2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17,714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57,514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Total Discharges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18,426</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17,348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55,130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Average length of stay (days)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103.5</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109.7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102.5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Median length of stay (days)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17.0</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18.0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16.0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ADC by major diagnosis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44.1%</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44.4%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Cerebro</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Neurological</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11.2</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Cancer</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9.2</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9.4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Cardio</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16.8</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15.9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Respiratory</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8.1</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7.9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10.6</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10.6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6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Admissions by major diagnosis</w:t>
            </w: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0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28.0%</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27.5%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Cerebro</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Neurological</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6.7</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Cancer</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24.7</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26.6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24.3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Cardio</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14.9</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14.3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Respiratory</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12.3</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13.4</w:t>
            </w: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14.6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13.8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06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3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Estimated uncollectible accounts as a percent of revenues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1.2%</w:t>
            </w:r>
          </w:p>
        </w:tc>
        <w:tc>
          <w:tcPr>
            <w:tcW w:w="3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39.0</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n.a.</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Days of revenue outstanding- excluding unapplied Medicare payments</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37.5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6"/>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Days of revenue outstanding- including unapplied Medicare payments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37.4</w:t>
            </w:r>
          </w:p>
        </w:tc>
        <w:tc>
          <w:tcPr>
            <w:tcW w:w="320" w:type="dxa"/>
            <w:vAlign w:val="bottom"/>
          </w:tcPr>
          <w:p>
            <w:pPr>
              <w:spacing w:after="0"/>
              <w:rPr>
                <w:sz w:val="14"/>
                <w:szCs w:val="14"/>
                <w:color w:val="auto"/>
              </w:rPr>
            </w:pPr>
          </w:p>
        </w:tc>
        <w:tc>
          <w:tcPr>
            <w:tcW w:w="12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34.0</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n.a.</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76"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 under the Private Securities Litigation Reform Act of 1995 Regarding Forward-Looking Information</w:t>
      </w:r>
    </w:p>
    <w:p>
      <w:pPr>
        <w:spacing w:after="0" w:line="18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Certain statements contained in this report are “forward-looking statements” within the meaning of the Private Securities Litigation Reform Act of 1995. The words “believe”, “expect”, “hope”, “anticipate”, “plan” and similar expressions identify forward-looking statements, which speak only as of the date the statement was made. These forward-looking statements are based on current expectations and assumptions and involve various known and unknown risks, uncertainties, contingencies and other factors, which could cause Chemed’s actual results to differ from those expressed in such forward-looking statements. Variances in any or all of the risks, uncertainties, contingencies, and other factors from our assumptions could cause actual results to differ materially from these forward-looking statements and trends. In addition, our ability to deal with the unknown outcomes of these events, many of which are beyond our control, may affect the reliability of projections and other financial matters. Investors are cautioned that such forward-looking statements are subject to inherent risk and there are no assurances that the matters contained in such statements will be achieved. Chemed does not undertake and specifically disclaims any obligation to publicly update or revise any forward-looking statements, whether as a result of new information, future events or otherwise.</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primary market risk exposure relates to interest rate risk exposure through its variable interest line of credit. At September 30, 2026, the Company has $236.0 million of variable rate debt outstanding. For each $10 million borrowed under the credit facility, an increase or decrease of 100 basis points (1%), increases or decreases the Company’s annual interest expense by $100,000.</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continually evaluates this interest rate exposure and periodically weighs the cost versus the benefit of fixing the variable interest rates through a variety of hedging techniques.</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carried out an evaluation, under the supervision of the Company’s President and Chief Executive Officer and with the participation of the Executive Vice President, Chief Financial Officer and Controller, of the effectiveness of the design and operation of our disclosure controls and procedures as of the end of the period covered by this report. Based on that evaluation, the President and Chief Executive Officer and Executive Vice President, Chief Financial Officer and Controller have concluded that our disclosure controls and procedures were effective as of the end of the period covered by this report. There has been no change in our internal control over financial reporting that occurred during the quarter covered by this report that has materially affected, or is reasonably likely to materially affect, our internal control over financial reporting.</w:t>
      </w:r>
    </w:p>
    <w:p>
      <w:pPr>
        <w:spacing w:after="0" w:line="1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information regarding the Company’s legal proceedings, see Note 11, Legal and Regulatory Matters, under Part I, Item I of this Quarterly Report on Form 10-Q.</w:t>
      </w:r>
    </w:p>
    <w:p>
      <w:pPr>
        <w:spacing w:after="0" w:line="1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most recent Annual Report on Form 10-K and Quarterly Report on Form 10-Q.</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3" w:name="page44"/>
    <w:bookmarkEnd w:id="43"/>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Purchases of Equity Securities by Issuer and Affiliated Purchasers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related to our share repurchase program for the first nine months of 2026:</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 Amount</w:t>
            </w:r>
          </w:p>
        </w:tc>
      </w:tr>
      <w:tr>
        <w:trPr>
          <w:trHeight w:val="230"/>
        </w:trPr>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 Paid Per</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Repurchased Under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Remaining Under</w:t>
            </w:r>
          </w:p>
        </w:tc>
      </w:tr>
      <w:tr>
        <w:trPr>
          <w:trHeight w:val="222"/>
        </w:trPr>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Program</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The Program</w:t>
            </w:r>
          </w:p>
        </w:tc>
      </w:tr>
      <w:tr>
        <w:trPr>
          <w:trHeight w:val="412"/>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February 2011 Program</w:t>
            </w:r>
          </w:p>
        </w:tc>
        <w:tc>
          <w:tcPr>
            <w:tcW w:w="23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44"/>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January 1 through January 31, 2026</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12,161,858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127,282,674</w:t>
            </w:r>
          </w:p>
        </w:tc>
      </w:tr>
      <w:tr>
        <w:trPr>
          <w:trHeight w:val="23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February 1 through February 28, 2026 (1)</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12,161,858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427,282,674</w:t>
            </w:r>
          </w:p>
        </w:tc>
      </w:tr>
      <w:tr>
        <w:trPr>
          <w:trHeight w:val="248"/>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1 through March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395.36</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229,601,903</w:t>
            </w:r>
          </w:p>
        </w:tc>
      </w:tr>
      <w:tr>
        <w:trPr>
          <w:trHeight w:val="399"/>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First Quarter 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395.36</w:t>
            </w:r>
          </w:p>
        </w:tc>
        <w:tc>
          <w:tcPr>
            <w:tcW w:w="18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2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1 through April 30,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40,300</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422.59</w:t>
            </w:r>
          </w:p>
        </w:tc>
        <w:tc>
          <w:tcPr>
            <w:tcW w:w="1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12,702,158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212,571,327</w:t>
            </w:r>
          </w:p>
        </w:tc>
      </w:tr>
      <w:tr>
        <w:trPr>
          <w:trHeight w:val="229"/>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May 1 through May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424.12</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12,811,858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166,045,452</w:t>
            </w:r>
          </w:p>
        </w:tc>
      </w:tr>
      <w:tr>
        <w:trPr>
          <w:trHeight w:val="248"/>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1 through June 30,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438.07</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12,871,858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139,761,356</w:t>
            </w:r>
          </w:p>
        </w:tc>
      </w:tr>
      <w:tr>
        <w:trPr>
          <w:trHeight w:val="399"/>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Second Quarter 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427.81</w:t>
            </w:r>
          </w:p>
        </w:tc>
        <w:tc>
          <w:tcPr>
            <w:tcW w:w="18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20"/>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July 1 through July 31, 2026</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12,871,858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139,761,356</w:t>
            </w:r>
          </w:p>
        </w:tc>
      </w:tr>
      <w:tr>
        <w:trPr>
          <w:trHeight w:val="229"/>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August 1 through August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543.40</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99,006,380</w:t>
            </w:r>
          </w:p>
        </w:tc>
      </w:tr>
      <w:tr>
        <w:trPr>
          <w:trHeight w:val="248"/>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1 through September 30,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505.51</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12,996,858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73,730,994</w:t>
            </w:r>
          </w:p>
        </w:tc>
      </w:tr>
      <w:tr>
        <w:trPr>
          <w:trHeight w:val="399"/>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Third Quarter 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528.24</w:t>
            </w:r>
          </w:p>
        </w:tc>
        <w:tc>
          <w:tcPr>
            <w:tcW w:w="18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 In February 2026, our Board of Directors authorized an additional $300.0 million under the February 2011 Repurchase Program.</w:t>
      </w: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05"/>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45"/>
        </w:trPr>
        <w:tc>
          <w:tcPr>
            <w:tcW w:w="340" w:type="dxa"/>
            <w:vAlign w:val="bottom"/>
            <w:tcBorders>
              <w:top w:val="single" w:sz="8" w:color="auto"/>
            </w:tcBorders>
          </w:tcPr>
          <w:p>
            <w:pPr>
              <w:spacing w:after="0"/>
              <w:rPr>
                <w:rFonts w:ascii="Times New Roman" w:cs="Times New Roman" w:eastAsia="Times New Roman" w:hAnsi="Times New Roman"/>
                <w:sz w:val="18"/>
                <w:szCs w:val="18"/>
                <w:color w:val="0000FF"/>
                <w:w w:val="95"/>
              </w:rPr>
            </w:pPr>
            <w:hyperlink r:id="rId5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tcBorders>
              <w:top w:val="single" w:sz="8" w:color="auto"/>
            </w:tcBorders>
            <w:gridSpan w:val="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Sixth Amended and Restated Credit Agreement</w:t>
              </w:r>
            </w:hyperlink>
          </w:p>
        </w:tc>
      </w:tr>
      <w:tr>
        <w:trPr>
          <w:trHeight w:val="20"/>
        </w:trPr>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Kevin J. McNamara pursuant to Rule 13a-14(a)/15d-14(a) of the Exchange Act of 1934.</w:t>
            </w:r>
          </w:p>
        </w:tc>
      </w:tr>
      <w:tr>
        <w:trPr>
          <w:trHeight w:val="20"/>
        </w:trPr>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Michael D. Witzeman pursuant to Rule 13a-14(a)/15d-14(a) of the Exchange Act of 1934.</w:t>
            </w:r>
          </w:p>
        </w:tc>
      </w:tr>
      <w:tr>
        <w:trPr>
          <w:trHeight w:val="358"/>
        </w:trPr>
        <w:tc>
          <w:tcPr>
            <w:tcW w:w="3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by Kevin J. McNamara pursuant to Section 906 of the Sarbanes-Oxley Act of 2002.</w:t>
            </w:r>
          </w:p>
        </w:tc>
        <w:tc>
          <w:tcPr>
            <w:tcW w:w="680" w:type="dxa"/>
            <w:vAlign w:val="bottom"/>
            <w:tcBorders>
              <w:top w:val="single" w:sz="8" w:color="0000FF"/>
            </w:tcBorders>
            <w:gridSpan w:val="3"/>
          </w:tcPr>
          <w:p>
            <w:pPr>
              <w:spacing w:after="0"/>
              <w:rPr>
                <w:sz w:val="24"/>
                <w:szCs w:val="24"/>
                <w:color w:val="auto"/>
              </w:rPr>
            </w:pPr>
          </w:p>
        </w:tc>
        <w:tc>
          <w:tcPr>
            <w:tcW w:w="1960" w:type="dxa"/>
            <w:vAlign w:val="bottom"/>
          </w:tcPr>
          <w:p>
            <w:pPr>
              <w:spacing w:after="0"/>
              <w:rPr>
                <w:sz w:val="24"/>
                <w:szCs w:val="24"/>
                <w:color w:val="auto"/>
              </w:rPr>
            </w:pPr>
          </w:p>
        </w:tc>
      </w:tr>
      <w:tr>
        <w:trPr>
          <w:trHeight w:val="358"/>
        </w:trPr>
        <w:tc>
          <w:tcPr>
            <w:tcW w:w="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by Michael D. Witzeman pursuant to Section 906 of the Sarbanes-Oxley Act of 2002</w:t>
            </w:r>
          </w:p>
        </w:tc>
        <w:tc>
          <w:tcPr>
            <w:tcW w:w="2500" w:type="dxa"/>
            <w:vAlign w:val="bottom"/>
            <w:gridSpan w:val="3"/>
          </w:tcPr>
          <w:p>
            <w:pPr>
              <w:spacing w:after="0"/>
              <w:rPr>
                <w:sz w:val="24"/>
                <w:szCs w:val="24"/>
                <w:color w:val="auto"/>
              </w:rPr>
            </w:pPr>
          </w:p>
        </w:tc>
      </w:tr>
      <w:tr>
        <w:trPr>
          <w:trHeight w:val="36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Chemed Corporation’s Quarterly Report on Form 10-Q for the quarter ended September 30, 2026</w:t>
            </w:r>
          </w:p>
        </w:tc>
      </w:tr>
      <w:tr>
        <w:trPr>
          <w:trHeight w:val="189"/>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Condensed Consolidated Balance Sheet, (ii) The</w:t>
            </w:r>
          </w:p>
        </w:tc>
      </w:tr>
      <w:tr>
        <w:trPr>
          <w:trHeight w:val="189"/>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 of Income, (iii) The Condensed Consolidated Statement of Cash Flows, (iv) The Condensed</w:t>
            </w:r>
          </w:p>
        </w:tc>
      </w:tr>
      <w:tr>
        <w:trPr>
          <w:trHeight w:val="203"/>
        </w:trPr>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Statement of Equity, and (v) Notes to the Condensed Consolidated Financial Statements.</w:t>
            </w:r>
          </w:p>
        </w:tc>
      </w:tr>
      <w:tr>
        <w:trPr>
          <w:trHeight w:val="203"/>
        </w:trPr>
        <w:tc>
          <w:tcPr>
            <w:tcW w:w="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September 30, 2026, formatted in iXBRL</w:t>
            </w:r>
          </w:p>
        </w:tc>
      </w:tr>
      <w:tr>
        <w:trPr>
          <w:trHeight w:val="234"/>
        </w:trPr>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r>
      <w:tr>
        <w:trPr>
          <w:trHeight w:val="769"/>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gridSpan w:val="2"/>
          </w:tcPr>
          <w:p>
            <w:pPr>
              <w:ind w:left="38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3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Chemed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8890</wp:posOffset>
            </wp:positionV>
            <wp:extent cx="27603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jc w:val="cente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9" w:lineRule="exact"/>
        <w:rPr>
          <w:sz w:val="20"/>
          <w:szCs w:val="20"/>
          <w:color w:val="auto"/>
        </w:rPr>
      </w:pPr>
    </w:p>
    <w:p>
      <w:pPr>
        <w:ind w:left="2760" w:right="1120" w:hanging="8317"/>
        <w:spacing w:after="0"/>
        <w:tabs>
          <w:tab w:leader="none" w:pos="2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xml:space="preserve">October 29, 2026 By: </w:t>
      </w:r>
      <w:r>
        <w:rPr>
          <w:rFonts w:ascii="Times New Roman" w:cs="Times New Roman" w:eastAsia="Times New Roman" w:hAnsi="Times New Roman"/>
          <w:sz w:val="18"/>
          <w:szCs w:val="18"/>
          <w:i w:val="1"/>
          <w:iCs w:val="1"/>
          <w:color w:val="auto"/>
        </w:rPr>
        <w:t>/s/ Kevin J. McNamara</w:t>
      </w:r>
      <w:r>
        <w:rPr>
          <w:rFonts w:ascii="Times New Roman" w:cs="Times New Roman" w:eastAsia="Times New Roman" w:hAnsi="Times New Roman"/>
          <w:sz w:val="18"/>
          <w:szCs w:val="18"/>
          <w:color w:val="auto"/>
        </w:rPr>
        <w:t xml:space="preserve"> Kevin J.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-6985</wp:posOffset>
            </wp:positionV>
            <wp:extent cx="59150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5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27" w:lineRule="exact"/>
        <w:rPr>
          <w:sz w:val="20"/>
          <w:szCs w:val="20"/>
          <w:color w:val="auto"/>
        </w:rPr>
      </w:pPr>
    </w:p>
    <w:p>
      <w:pPr>
        <w:ind w:left="2760" w:right="1060" w:hanging="8251"/>
        <w:spacing w:after="0"/>
        <w:tabs>
          <w:tab w:leader="none" w:pos="2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xml:space="preserve">October 29, 2026 By: </w:t>
      </w:r>
      <w:r>
        <w:rPr>
          <w:rFonts w:ascii="Times New Roman" w:cs="Times New Roman" w:eastAsia="Times New Roman" w:hAnsi="Times New Roman"/>
          <w:sz w:val="18"/>
          <w:szCs w:val="18"/>
          <w:i w:val="1"/>
          <w:iCs w:val="1"/>
          <w:color w:val="auto"/>
        </w:rPr>
        <w:t>/s/ Michael D. Witzeman</w:t>
      </w:r>
      <w:r>
        <w:rPr>
          <w:rFonts w:ascii="Times New Roman" w:cs="Times New Roman" w:eastAsia="Times New Roman" w:hAnsi="Times New Roman"/>
          <w:sz w:val="18"/>
          <w:szCs w:val="18"/>
          <w:color w:val="auto"/>
        </w:rPr>
        <w:t xml:space="preserve"> Michael D. Witzeman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-6985</wp:posOffset>
            </wp:positionV>
            <wp:extent cx="5915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55"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jc w:val="center"/>
        <w:ind w:left="6860"/>
        <w:spacing w:after="0"/>
        <w:rPr>
          <w:sz w:val="20"/>
          <w:szCs w:val="20"/>
          <w:color w:val="auto"/>
        </w:rPr>
      </w:pPr>
      <w:r>
        <w:rPr>
          <w:rFonts w:ascii="Times New Roman" w:cs="Times New Roman" w:eastAsia="Times New Roman" w:hAnsi="Times New Roman"/>
          <w:sz w:val="18"/>
          <w:szCs w:val="18"/>
          <w:color w:val="auto"/>
        </w:rPr>
        <w:t>Controller)</w:t>
      </w:r>
    </w:p>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320" w:top="293" w:right="5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CERTIFICATION PURSUANT TO RULES 13a-14(a)/15d-14(a) OF THE EXCHANGE ACT OF 1934</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Kevin J. McNamara, certify that:</w:t>
      </w:r>
    </w:p>
    <w:p>
      <w:pPr>
        <w:spacing w:after="0" w:line="225" w:lineRule="exact"/>
        <w:rPr>
          <w:sz w:val="20"/>
          <w:szCs w:val="20"/>
          <w:color w:val="auto"/>
        </w:rPr>
      </w:pPr>
    </w:p>
    <w:p>
      <w:pPr>
        <w:ind w:left="1060" w:hanging="228"/>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Chemed Corporation (“registrant”);</w:t>
      </w:r>
    </w:p>
    <w:p>
      <w:pPr>
        <w:spacing w:after="0" w:line="225" w:lineRule="exact"/>
        <w:rPr>
          <w:rFonts w:ascii="Times New Roman" w:cs="Times New Roman" w:eastAsia="Times New Roman" w:hAnsi="Times New Roman"/>
          <w:sz w:val="18"/>
          <w:szCs w:val="18"/>
          <w:color w:val="auto"/>
        </w:rPr>
      </w:pPr>
    </w:p>
    <w:p>
      <w:pPr>
        <w:ind w:left="840" w:right="200" w:hanging="8"/>
        <w:spacing w:after="0" w:line="266"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840" w:right="80" w:hanging="8"/>
        <w:spacing w:after="0" w:line="266"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40" w:right="360" w:hanging="8"/>
        <w:spacing w:after="0" w:line="289" w:lineRule="auto"/>
        <w:tabs>
          <w:tab w:leader="none" w:pos="106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57" w:lineRule="exact"/>
        <w:rPr>
          <w:rFonts w:ascii="Times New Roman" w:cs="Times New Roman" w:eastAsia="Times New Roman" w:hAnsi="Times New Roman"/>
          <w:sz w:val="17"/>
          <w:szCs w:val="17"/>
          <w:color w:val="auto"/>
        </w:rPr>
      </w:pPr>
    </w:p>
    <w:p>
      <w:pPr>
        <w:ind w:left="1480" w:firstLine="8"/>
        <w:spacing w:after="0" w:line="261" w:lineRule="auto"/>
        <w:tabs>
          <w:tab w:leader="none" w:pos="17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80" w:right="60" w:firstLine="8"/>
        <w:spacing w:after="0" w:line="261"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80" w:right="120" w:firstLine="8"/>
        <w:spacing w:after="0" w:line="266" w:lineRule="auto"/>
        <w:tabs>
          <w:tab w:leader="none" w:pos="17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80" w:firstLine="8"/>
        <w:spacing w:after="0" w:line="261"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1160" w:right="40" w:hanging="328"/>
        <w:spacing w:after="0" w:line="26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ind w:left="1480" w:right="120" w:firstLine="8"/>
        <w:spacing w:after="0" w:line="266" w:lineRule="auto"/>
        <w:tabs>
          <w:tab w:leader="none" w:pos="17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80" w:right="680" w:firstLine="8"/>
        <w:spacing w:after="0" w:line="282"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660" w:type="dxa"/>
            <w:vAlign w:val="bottom"/>
          </w:tcPr>
          <w:p>
            <w:pPr>
              <w:spacing w:after="0"/>
              <w:rPr>
                <w:sz w:val="18"/>
                <w:szCs w:val="18"/>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Kevin J. McNamara</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660" w:type="dxa"/>
            <w:vAlign w:val="bottom"/>
            <w:vMerge w:val="restart"/>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Kevin J. McNamara</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73025</wp:posOffset>
            </wp:positionV>
            <wp:extent cx="573468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734685" cy="50800"/>
                    </a:xfrm>
                    <a:prstGeom prst="rect">
                      <a:avLst/>
                    </a:prstGeom>
                    <a:noFill/>
                  </pic:spPr>
                </pic:pic>
              </a:graphicData>
            </a:graphic>
          </wp:anchor>
        </w:drawing>
      </w:r>
    </w:p>
    <w:p>
      <w:pPr>
        <w:sectPr>
          <w:pgSz w:w="11900" w:h="16838" w:orient="portrait"/>
          <w:cols w:equalWidth="0" w:num="1">
            <w:col w:w="9140"/>
          </w:cols>
          <w:pgMar w:left="1440" w:top="117" w:right="1319" w:bottom="1440" w:gutter="0" w:footer="0" w:header="0"/>
        </w:sectPr>
      </w:pPr>
    </w:p>
    <w:bookmarkStart w:id="47" w:name="page48"/>
    <w:bookmarkEnd w:id="4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CERTIFICATION PURSUANT TO RULES 13a-14(a)/15d-14(a) OF THE EXCHANGE ACT OF 1934</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Michael D. Witzeman, certify that:</w:t>
      </w:r>
    </w:p>
    <w:p>
      <w:pPr>
        <w:spacing w:after="0" w:line="225" w:lineRule="exact"/>
        <w:rPr>
          <w:sz w:val="20"/>
          <w:szCs w:val="20"/>
          <w:color w:val="auto"/>
        </w:rPr>
      </w:pPr>
    </w:p>
    <w:p>
      <w:pPr>
        <w:ind w:left="1060" w:hanging="228"/>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Chemed Corporation (“registrant”);</w:t>
      </w:r>
    </w:p>
    <w:p>
      <w:pPr>
        <w:spacing w:after="0" w:line="225" w:lineRule="exact"/>
        <w:rPr>
          <w:rFonts w:ascii="Times New Roman" w:cs="Times New Roman" w:eastAsia="Times New Roman" w:hAnsi="Times New Roman"/>
          <w:sz w:val="18"/>
          <w:szCs w:val="18"/>
          <w:color w:val="auto"/>
        </w:rPr>
      </w:pPr>
    </w:p>
    <w:p>
      <w:pPr>
        <w:ind w:left="840" w:right="240" w:hanging="8"/>
        <w:spacing w:after="0" w:line="266"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840" w:right="120" w:hanging="8"/>
        <w:spacing w:after="0" w:line="266"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40" w:right="400" w:hanging="8"/>
        <w:spacing w:after="0" w:line="289" w:lineRule="auto"/>
        <w:tabs>
          <w:tab w:leader="none" w:pos="106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57" w:lineRule="exact"/>
        <w:rPr>
          <w:rFonts w:ascii="Times New Roman" w:cs="Times New Roman" w:eastAsia="Times New Roman" w:hAnsi="Times New Roman"/>
          <w:sz w:val="17"/>
          <w:szCs w:val="17"/>
          <w:color w:val="auto"/>
        </w:rPr>
      </w:pPr>
    </w:p>
    <w:p>
      <w:pPr>
        <w:ind w:left="1480" w:right="40" w:firstLine="8"/>
        <w:spacing w:after="0" w:line="261"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80" w:right="100" w:firstLine="8"/>
        <w:spacing w:after="0" w:line="261" w:lineRule="auto"/>
        <w:tabs>
          <w:tab w:leader="none" w:pos="17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80" w:right="160" w:firstLine="8"/>
        <w:spacing w:after="0" w:line="266"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80" w:right="40" w:firstLine="8"/>
        <w:spacing w:after="0" w:line="261" w:lineRule="auto"/>
        <w:tabs>
          <w:tab w:leader="none" w:pos="17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40" w:right="280" w:hanging="8"/>
        <w:spacing w:after="0" w:line="266" w:lineRule="auto"/>
        <w:tabs>
          <w:tab w:leader="none" w:pos="10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ind w:left="1480" w:right="160" w:firstLine="8"/>
        <w:spacing w:after="0" w:line="266"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80" w:right="720" w:firstLine="8"/>
        <w:spacing w:after="0" w:line="282" w:lineRule="auto"/>
        <w:tabs>
          <w:tab w:leader="none" w:pos="17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/s/ Michael D. Witzeman</w:t>
            </w:r>
          </w:p>
        </w:tc>
        <w:tc>
          <w:tcPr>
            <w:tcW w:w="40" w:type="dxa"/>
            <w:vAlign w:val="bottom"/>
          </w:tcPr>
          <w:p>
            <w:pPr>
              <w:spacing w:after="0"/>
              <w:rPr>
                <w:sz w:val="20"/>
                <w:szCs w:val="20"/>
                <w:color w:val="auto"/>
              </w:rPr>
            </w:pPr>
          </w:p>
        </w:tc>
      </w:tr>
      <w:tr>
        <w:trPr>
          <w:trHeight w:val="191"/>
        </w:trPr>
        <w:tc>
          <w:tcPr>
            <w:tcW w:w="3160" w:type="dxa"/>
            <w:vAlign w:val="bottom"/>
            <w:tcBorders>
              <w:top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3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D. Witzeman</w:t>
            </w:r>
          </w:p>
        </w:tc>
        <w:tc>
          <w:tcPr>
            <w:tcW w:w="4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(Executive Vice President, Controller, and</w:t>
            </w:r>
          </w:p>
        </w:tc>
        <w:tc>
          <w:tcPr>
            <w:tcW w:w="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648"/>
        </w:trPr>
        <w:tc>
          <w:tcPr>
            <w:tcW w:w="3160" w:type="dxa"/>
            <w:vAlign w:val="bottom"/>
          </w:tcPr>
          <w:p>
            <w:pPr>
              <w:spacing w:after="0"/>
              <w:rPr>
                <w:sz w:val="24"/>
                <w:szCs w:val="24"/>
                <w:color w:val="auto"/>
              </w:rPr>
            </w:pPr>
          </w:p>
        </w:tc>
        <w:tc>
          <w:tcPr>
            <w:tcW w:w="5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E-2</w:t>
            </w:r>
          </w:p>
        </w:tc>
        <w:tc>
          <w:tcPr>
            <w:tcW w:w="40" w:type="dxa"/>
            <w:vAlign w:val="bottom"/>
          </w:tcPr>
          <w:p>
            <w:pPr>
              <w:spacing w:after="0"/>
              <w:rPr>
                <w:sz w:val="24"/>
                <w:szCs w:val="24"/>
                <w:color w:val="auto"/>
              </w:rPr>
            </w:pPr>
          </w:p>
        </w:tc>
      </w:tr>
      <w:tr>
        <w:trPr>
          <w:trHeight w:val="108"/>
        </w:trPr>
        <w:tc>
          <w:tcPr>
            <w:tcW w:w="31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-37465</wp:posOffset>
            </wp:positionV>
            <wp:extent cx="3365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180"/>
          </w:cols>
          <w:pgMar w:left="1440" w:top="117" w:right="1279" w:bottom="1440" w:gutter="0" w:footer="0" w:header="0"/>
        </w:sectPr>
      </w:pPr>
    </w:p>
    <w:bookmarkStart w:id="48" w:name="page49"/>
    <w:bookmarkEnd w:id="48"/>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BY KEVIN J. MCNAMARA</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President and Chief Executive Officer of</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Chemed Corporation (“Company”), does hereby certify that:</w:t>
      </w:r>
    </w:p>
    <w:p>
      <w:pPr>
        <w:spacing w:after="0" w:line="207" w:lineRule="exact"/>
        <w:rPr>
          <w:sz w:val="20"/>
          <w:szCs w:val="20"/>
          <w:color w:val="auto"/>
        </w:rPr>
      </w:pPr>
    </w:p>
    <w:p>
      <w:pPr>
        <w:jc w:val="both"/>
        <w:ind w:left="1480" w:right="240" w:hanging="621"/>
        <w:spacing w:after="0" w:line="266" w:lineRule="auto"/>
        <w:tabs>
          <w:tab w:leader="none" w:pos="14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ending September 30, 2026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480" w:right="80" w:hanging="666"/>
        <w:spacing w:after="0" w:line="282" w:lineRule="auto"/>
        <w:tabs>
          <w:tab w:leader="none" w:pos="14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9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Kevin J. McNamara</w:t>
            </w: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2920" w:type="dxa"/>
            <w:vAlign w:val="bottom"/>
            <w:vMerge w:val="restart"/>
          </w:tcPr>
          <w:p>
            <w:pPr>
              <w:spacing w:after="0" w:line="20" w:lineRule="exact"/>
              <w:rPr>
                <w:sz w:val="1"/>
                <w:szCs w:val="1"/>
                <w:color w:val="auto"/>
              </w:rPr>
            </w:pPr>
          </w:p>
        </w:tc>
        <w:tc>
          <w:tcPr>
            <w:tcW w:w="16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Kevin J. McNamara</w:t>
            </w:r>
          </w:p>
        </w:tc>
        <w:tc>
          <w:tcPr>
            <w:tcW w:w="1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64"/>
        </w:trPr>
        <w:tc>
          <w:tcPr>
            <w:tcW w:w="3140" w:type="dxa"/>
            <w:vAlign w:val="bottom"/>
          </w:tcPr>
          <w:p>
            <w:pPr>
              <w:spacing w:after="0"/>
              <w:rPr>
                <w:sz w:val="24"/>
                <w:szCs w:val="24"/>
                <w:color w:val="auto"/>
              </w:rPr>
            </w:pPr>
          </w:p>
        </w:tc>
        <w:tc>
          <w:tcPr>
            <w:tcW w:w="58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E-4</w:t>
            </w:r>
          </w:p>
        </w:tc>
        <w:tc>
          <w:tcPr>
            <w:tcW w:w="0" w:type="dxa"/>
            <w:vAlign w:val="bottom"/>
          </w:tcPr>
          <w:p>
            <w:pPr>
              <w:spacing w:after="0"/>
              <w:rPr>
                <w:sz w:val="1"/>
                <w:szCs w:val="1"/>
                <w:color w:val="auto"/>
              </w:rPr>
            </w:pPr>
          </w:p>
        </w:tc>
      </w:tr>
      <w:tr>
        <w:trPr>
          <w:trHeight w:val="108"/>
        </w:trPr>
        <w:tc>
          <w:tcPr>
            <w:tcW w:w="31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-37465</wp:posOffset>
            </wp:positionV>
            <wp:extent cx="3365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180"/>
          </w:cols>
          <w:pgMar w:left="1440" w:top="117" w:right="1279" w:bottom="1440" w:gutter="0" w:footer="0" w:header="0"/>
        </w:sectPr>
      </w:pPr>
    </w:p>
    <w:bookmarkStart w:id="49" w:name="page50"/>
    <w:bookmarkEnd w:id="49"/>
    <w:p>
      <w:pPr>
        <w:ind w:left="80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BY MICHAEL D. WITZEMAN</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left="180" w:right="64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Executive Vice President and Chief Financial Officer of Chemed Corporation (“Company”), does hereby certify that:</w:t>
      </w:r>
    </w:p>
    <w:p>
      <w:pPr>
        <w:spacing w:after="0" w:line="162" w:lineRule="exact"/>
        <w:rPr>
          <w:sz w:val="20"/>
          <w:szCs w:val="20"/>
          <w:color w:val="auto"/>
        </w:rPr>
      </w:pPr>
    </w:p>
    <w:p>
      <w:pPr>
        <w:jc w:val="both"/>
        <w:ind w:left="1480" w:right="240" w:hanging="666"/>
        <w:spacing w:after="0" w:line="266" w:lineRule="auto"/>
        <w:tabs>
          <w:tab w:leader="none" w:pos="14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ending September 30, 2026 (“Report”), fully complies with the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1480" w:right="80" w:hanging="666"/>
        <w:spacing w:after="0" w:line="282" w:lineRule="auto"/>
        <w:tabs>
          <w:tab w:leader="none" w:pos="14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/s/ Michael D. Witzeman</w:t>
            </w:r>
          </w:p>
        </w:tc>
        <w:tc>
          <w:tcPr>
            <w:tcW w:w="40" w:type="dxa"/>
            <w:vAlign w:val="bottom"/>
          </w:tcPr>
          <w:p>
            <w:pPr>
              <w:spacing w:after="0"/>
              <w:rPr>
                <w:sz w:val="20"/>
                <w:szCs w:val="20"/>
                <w:color w:val="auto"/>
              </w:rPr>
            </w:pPr>
          </w:p>
        </w:tc>
      </w:tr>
      <w:tr>
        <w:trPr>
          <w:trHeight w:val="191"/>
        </w:trPr>
        <w:tc>
          <w:tcPr>
            <w:tcW w:w="3160" w:type="dxa"/>
            <w:vAlign w:val="bottom"/>
            <w:tcBorders>
              <w:top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3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D. Witzeman</w:t>
            </w:r>
          </w:p>
        </w:tc>
        <w:tc>
          <w:tcPr>
            <w:tcW w:w="4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(Executive Vice President, Controller and</w:t>
            </w:r>
          </w:p>
        </w:tc>
        <w:tc>
          <w:tcPr>
            <w:tcW w:w="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648"/>
        </w:trPr>
        <w:tc>
          <w:tcPr>
            <w:tcW w:w="3160" w:type="dxa"/>
            <w:vAlign w:val="bottom"/>
          </w:tcPr>
          <w:p>
            <w:pPr>
              <w:spacing w:after="0"/>
              <w:rPr>
                <w:sz w:val="24"/>
                <w:szCs w:val="24"/>
                <w:color w:val="auto"/>
              </w:rPr>
            </w:pPr>
          </w:p>
        </w:tc>
        <w:tc>
          <w:tcPr>
            <w:tcW w:w="5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E-5</w:t>
            </w:r>
          </w:p>
        </w:tc>
        <w:tc>
          <w:tcPr>
            <w:tcW w:w="40" w:type="dxa"/>
            <w:vAlign w:val="bottom"/>
          </w:tcPr>
          <w:p>
            <w:pPr>
              <w:spacing w:after="0"/>
              <w:rPr>
                <w:sz w:val="24"/>
                <w:szCs w:val="24"/>
                <w:color w:val="auto"/>
              </w:rPr>
            </w:pPr>
          </w:p>
        </w:tc>
      </w:tr>
      <w:tr>
        <w:trPr>
          <w:trHeight w:val="108"/>
        </w:trPr>
        <w:tc>
          <w:tcPr>
            <w:tcW w:w="31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-37465</wp:posOffset>
            </wp:positionV>
            <wp:extent cx="3365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-37465</wp:posOffset>
            </wp:positionV>
            <wp:extent cx="34290"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sectPr>
      <w:pgSz w:w="11900" w:h="16838" w:orient="portrait"/>
      <w:cols w:equalWidth="0" w:num="1">
        <w:col w:w="9180"/>
      </w:cols>
      <w:pgMar w:left="1440" w:top="117"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1."/>
      <w:numFmt w:val="decimal"/>
      <w:start w:val="15"/>
    </w:lvl>
  </w:abstractNum>
  <w:abstractNum w:abstractNumId="5">
    <w:nsid w:val="515F007C"/>
    <w:multiLevelType w:val="hybridMultilevel"/>
    <w:lvl w:ilvl="0">
      <w:lvlJc w:val="left"/>
      <w:lvlText w:val=" "/>
      <w:numFmt w:val="bullet"/>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decimal"/>
      <w:start w:val="2"/>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59" Type="http://schemas.openxmlformats.org/officeDocument/2006/relationships/hyperlink" Target="http://www.sec.gov/Archives/edgar/data/19584/000001958426000008/che-20260410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2026-10-29T08:04:42Z</dcterms:created>
  <dcterms:modified xsi:type="dcterms:W3CDTF">2026-10-29T08:04:42Z</dcterms:modified>
</cp:coreProperties>
</file>