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29"/>
          <w:szCs w:val="29"/>
          <w:color w:val="auto"/>
        </w:rPr>
        <w:t>UNITED STATES</w:t>
      </w:r>
    </w:p>
    <w:p>
      <w:pPr>
        <w:jc w:val="center"/>
        <w:ind w:right="-179"/>
        <w:spacing w:after="0"/>
        <w:rPr>
          <w:sz w:val="20"/>
          <w:szCs w:val="20"/>
          <w:color w:val="auto"/>
        </w:rPr>
      </w:pPr>
      <w:r>
        <w:rPr>
          <w:rFonts w:ascii="Times New Roman" w:cs="Times New Roman" w:eastAsia="Times New Roman" w:hAnsi="Times New Roman"/>
          <w:sz w:val="28"/>
          <w:szCs w:val="28"/>
          <w:color w:val="auto"/>
        </w:rPr>
        <w:t>SECURITIES AND EXCHANGE COMMISSION</w:t>
      </w:r>
    </w:p>
    <w:p>
      <w:pPr>
        <w:jc w:val="center"/>
        <w:ind w:right="-17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10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9"/>
          <w:szCs w:val="29"/>
          <w:b w:val="1"/>
          <w:bCs w:val="1"/>
          <w:color w:val="auto"/>
        </w:rPr>
        <w:t>FORM 8-K</w:t>
      </w:r>
    </w:p>
    <w:p>
      <w:pPr>
        <w:jc w:val="center"/>
        <w:ind w:right="-179"/>
        <w:spacing w:after="0" w:line="238" w:lineRule="auto"/>
        <w:rPr>
          <w:sz w:val="20"/>
          <w:szCs w:val="20"/>
          <w:color w:val="auto"/>
        </w:rPr>
      </w:pPr>
      <w:r>
        <w:rPr>
          <w:rFonts w:ascii="Times New Roman" w:cs="Times New Roman" w:eastAsia="Times New Roman" w:hAnsi="Times New Roman"/>
          <w:sz w:val="18"/>
          <w:szCs w:val="18"/>
          <w:color w:val="auto"/>
        </w:rPr>
        <w:t>CURRENT REPORT</w:t>
      </w:r>
    </w:p>
    <w:p>
      <w:pPr>
        <w:jc w:val="center"/>
        <w:ind w:right="-179"/>
        <w:spacing w:after="0"/>
        <w:rPr>
          <w:sz w:val="20"/>
          <w:szCs w:val="20"/>
          <w:color w:val="auto"/>
        </w:rPr>
      </w:pPr>
      <w:r>
        <w:rPr>
          <w:rFonts w:ascii="Times New Roman" w:cs="Times New Roman" w:eastAsia="Times New Roman" w:hAnsi="Times New Roman"/>
          <w:sz w:val="18"/>
          <w:szCs w:val="18"/>
          <w:color w:val="auto"/>
        </w:rPr>
        <w:t>Pursuant to Section 13 or 15(d) of the Securities Exchange Act of 1934</w:t>
      </w:r>
    </w:p>
    <w:p>
      <w:pPr>
        <w:spacing w:after="0" w:line="12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1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October 27, 2026</w:t>
      </w:r>
    </w:p>
    <w:p>
      <w:pPr>
        <w:spacing w:after="0" w:line="11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9"/>
          <w:szCs w:val="29"/>
          <w:color w:val="auto"/>
        </w:rPr>
        <w:t>CHEMED CORPORATION</w:t>
      </w:r>
    </w:p>
    <w:p>
      <w:pPr>
        <w:spacing w:after="0" w:line="1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080"/>
          </w:cols>
          <w:pgMar w:left="320" w:top="202" w:right="499" w:bottom="1440" w:gutter="0" w:footer="0" w:header="0"/>
        </w:sectPr>
      </w:pPr>
    </w:p>
    <w:p>
      <w:pPr>
        <w:spacing w:after="0" w:line="138" w:lineRule="exact"/>
        <w:rPr>
          <w:sz w:val="24"/>
          <w:szCs w:val="24"/>
          <w:color w:val="auto"/>
        </w:rPr>
      </w:pPr>
    </w:p>
    <w:p>
      <w:pPr>
        <w:ind w:left="1520"/>
        <w:spacing w:after="0"/>
        <w:rPr>
          <w:sz w:val="20"/>
          <w:szCs w:val="20"/>
          <w:color w:val="auto"/>
        </w:rPr>
      </w:pPr>
      <w:r>
        <w:rPr>
          <w:rFonts w:ascii="Times New Roman" w:cs="Times New Roman" w:eastAsia="Times New Roman" w:hAnsi="Times New Roman"/>
          <w:sz w:val="18"/>
          <w:szCs w:val="18"/>
          <w:color w:val="auto"/>
        </w:rPr>
        <w:t>Delaware</w:t>
      </w:r>
    </w:p>
    <w:p>
      <w:pPr>
        <w:ind w:left="1360"/>
        <w:spacing w:after="0" w:line="221" w:lineRule="auto"/>
        <w:rPr>
          <w:sz w:val="20"/>
          <w:szCs w:val="20"/>
          <w:color w:val="auto"/>
        </w:rPr>
      </w:pPr>
      <w:r>
        <w:rPr>
          <w:rFonts w:ascii="Times New Roman" w:cs="Times New Roman" w:eastAsia="Times New Roman" w:hAnsi="Times New Roman"/>
          <w:sz w:val="18"/>
          <w:szCs w:val="18"/>
          <w:color w:val="auto"/>
        </w:rPr>
        <w:t>(State or other</w:t>
      </w:r>
    </w:p>
    <w:p>
      <w:pPr>
        <w:ind w:left="1380"/>
        <w:spacing w:after="0" w:line="219" w:lineRule="auto"/>
        <w:rPr>
          <w:sz w:val="20"/>
          <w:szCs w:val="20"/>
          <w:color w:val="auto"/>
        </w:rPr>
      </w:pPr>
      <w:r>
        <w:rPr>
          <w:rFonts w:ascii="Times New Roman" w:cs="Times New Roman" w:eastAsia="Times New Roman" w:hAnsi="Times New Roman"/>
          <w:sz w:val="18"/>
          <w:szCs w:val="18"/>
          <w:color w:val="auto"/>
        </w:rPr>
        <w:t>jurisdiction‎ of</w:t>
      </w:r>
    </w:p>
    <w:p>
      <w:pPr>
        <w:spacing w:after="0" w:line="1" w:lineRule="exact"/>
        <w:rPr>
          <w:sz w:val="24"/>
          <w:szCs w:val="24"/>
          <w:color w:val="auto"/>
        </w:rPr>
      </w:pPr>
    </w:p>
    <w:p>
      <w:pPr>
        <w:ind w:left="1360"/>
        <w:spacing w:after="0"/>
        <w:rPr>
          <w:sz w:val="20"/>
          <w:szCs w:val="20"/>
          <w:color w:val="auto"/>
        </w:rPr>
      </w:pPr>
      <w:r>
        <w:rPr>
          <w:rFonts w:ascii="Times New Roman" w:cs="Times New Roman" w:eastAsia="Times New Roman" w:hAnsi="Times New Roman"/>
          <w:sz w:val="18"/>
          <w:szCs w:val="18"/>
          <w:color w:val="auto"/>
        </w:rPr>
        <w:t>‎incorporation)</w:t>
      </w:r>
    </w:p>
    <w:p>
      <w:pPr>
        <w:spacing w:after="0" w:line="20" w:lineRule="exact"/>
        <w:rPr>
          <w:sz w:val="24"/>
          <w:szCs w:val="24"/>
          <w:color w:val="auto"/>
        </w:rPr>
      </w:pPr>
      <w:r>
        <w:rPr>
          <w:sz w:val="24"/>
          <w:szCs w:val="24"/>
          <w:color w:val="auto"/>
        </w:rPr>
        <w:br w:type="column"/>
      </w:r>
    </w:p>
    <w:p>
      <w:pPr>
        <w:spacing w:after="0" w:line="118" w:lineRule="exact"/>
        <w:rPr>
          <w:sz w:val="24"/>
          <w:szCs w:val="24"/>
          <w:color w:val="auto"/>
        </w:rPr>
      </w:pPr>
    </w:p>
    <w:p>
      <w:pPr>
        <w:ind w:left="840"/>
        <w:spacing w:after="0"/>
        <w:rPr>
          <w:sz w:val="20"/>
          <w:szCs w:val="20"/>
          <w:color w:val="auto"/>
        </w:rPr>
      </w:pPr>
      <w:r>
        <w:rPr>
          <w:rFonts w:ascii="Times New Roman" w:cs="Times New Roman" w:eastAsia="Times New Roman" w:hAnsi="Times New Roman"/>
          <w:sz w:val="18"/>
          <w:szCs w:val="18"/>
          <w:color w:val="auto"/>
        </w:rPr>
        <w:t>1-8351</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118" w:lineRule="exact"/>
        <w:rPr>
          <w:sz w:val="24"/>
          <w:szCs w:val="24"/>
          <w:color w:val="auto"/>
        </w:rPr>
      </w:pPr>
    </w:p>
    <w:p>
      <w:pPr>
        <w:ind w:left="220"/>
        <w:spacing w:after="0"/>
        <w:rPr>
          <w:sz w:val="20"/>
          <w:szCs w:val="20"/>
          <w:color w:val="auto"/>
        </w:rPr>
      </w:pPr>
      <w:r>
        <w:rPr>
          <w:rFonts w:ascii="Times New Roman" w:cs="Times New Roman" w:eastAsia="Times New Roman" w:hAnsi="Times New Roman"/>
          <w:sz w:val="18"/>
          <w:szCs w:val="18"/>
          <w:color w:val="auto"/>
        </w:rPr>
        <w:t>31-0791746</w:t>
      </w:r>
    </w:p>
    <w:p>
      <w:pPr>
        <w:spacing w:after="0" w:line="221" w:lineRule="auto"/>
        <w:rPr>
          <w:sz w:val="20"/>
          <w:szCs w:val="20"/>
          <w:color w:val="auto"/>
        </w:rPr>
      </w:pPr>
      <w:r>
        <w:rPr>
          <w:rFonts w:ascii="Times New Roman" w:cs="Times New Roman" w:eastAsia="Times New Roman" w:hAnsi="Times New Roman"/>
          <w:sz w:val="18"/>
          <w:szCs w:val="18"/>
          <w:color w:val="auto"/>
        </w:rPr>
        <w:t>(I.R.S. Employer</w:t>
      </w:r>
    </w:p>
    <w:p>
      <w:pPr>
        <w:ind w:left="140"/>
        <w:spacing w:after="0" w:line="219" w:lineRule="auto"/>
        <w:rPr>
          <w:sz w:val="20"/>
          <w:szCs w:val="20"/>
          <w:color w:val="auto"/>
        </w:rPr>
      </w:pPr>
      <w:r>
        <w:rPr>
          <w:rFonts w:ascii="Times New Roman" w:cs="Times New Roman" w:eastAsia="Times New Roman" w:hAnsi="Times New Roman"/>
          <w:sz w:val="18"/>
          <w:szCs w:val="18"/>
          <w:color w:val="auto"/>
        </w:rPr>
        <w:t>‎Identification</w:t>
      </w:r>
    </w:p>
    <w:p>
      <w:pPr>
        <w:spacing w:after="0" w:line="1" w:lineRule="exact"/>
        <w:rPr>
          <w:sz w:val="24"/>
          <w:szCs w:val="24"/>
          <w:color w:val="auto"/>
        </w:rPr>
      </w:pPr>
    </w:p>
    <w:p>
      <w:pPr>
        <w:ind w:left="300"/>
        <w:spacing w:after="0"/>
        <w:rPr>
          <w:sz w:val="20"/>
          <w:szCs w:val="20"/>
          <w:color w:val="auto"/>
        </w:rPr>
      </w:pPr>
      <w:r>
        <w:rPr>
          <w:rFonts w:ascii="Times New Roman" w:cs="Times New Roman" w:eastAsia="Times New Roman" w:hAnsi="Times New Roman"/>
          <w:sz w:val="18"/>
          <w:szCs w:val="18"/>
          <w:color w:val="auto"/>
        </w:rPr>
        <w:t>Number)‎</w:t>
      </w:r>
    </w:p>
    <w:p>
      <w:pPr>
        <w:spacing w:after="0" w:line="165" w:lineRule="exact"/>
        <w:rPr>
          <w:sz w:val="24"/>
          <w:szCs w:val="24"/>
          <w:color w:val="auto"/>
        </w:rPr>
      </w:pPr>
    </w:p>
    <w:p>
      <w:pPr>
        <w:sectPr>
          <w:pgSz w:w="11900" w:h="16838" w:orient="portrait"/>
          <w:cols w:equalWidth="0" w:num="3">
            <w:col w:w="3900" w:space="720"/>
            <w:col w:w="3400" w:space="720"/>
            <w:col w:w="2340"/>
          </w:cols>
          <w:pgMar w:left="320" w:top="202" w:right="499" w:bottom="1440" w:gutter="0" w:footer="0" w:header="0"/>
          <w:type w:val="continuous"/>
        </w:sectPr>
      </w:pPr>
    </w:p>
    <w:p>
      <w:pPr>
        <w:ind w:left="3060"/>
        <w:spacing w:after="0"/>
        <w:rPr>
          <w:sz w:val="20"/>
          <w:szCs w:val="20"/>
          <w:color w:val="auto"/>
        </w:rPr>
      </w:pPr>
      <w:r>
        <w:rPr>
          <w:rFonts w:ascii="Times New Roman" w:cs="Times New Roman" w:eastAsia="Times New Roman" w:hAnsi="Times New Roman"/>
          <w:sz w:val="18"/>
          <w:szCs w:val="18"/>
          <w:color w:val="auto"/>
        </w:rPr>
        <w:t>2600 First Financial Center, 255 East 5th Street, Cincinnati, OH 45202</w:t>
      </w:r>
    </w:p>
    <w:p>
      <w:pPr>
        <w:spacing w:after="0" w:line="2" w:lineRule="exact"/>
        <w:rPr>
          <w:sz w:val="24"/>
          <w:szCs w:val="24"/>
          <w:color w:val="auto"/>
        </w:rPr>
      </w:pPr>
    </w:p>
    <w:p>
      <w:pPr>
        <w:ind w:left="3500"/>
        <w:spacing w:after="0"/>
        <w:tabs>
          <w:tab w:leader="none" w:pos="6920" w:val="left"/>
        </w:tabs>
        <w:rPr>
          <w:sz w:val="20"/>
          <w:szCs w:val="20"/>
          <w:color w:val="auto"/>
        </w:rPr>
      </w:pPr>
      <w:r>
        <w:rPr>
          <w:rFonts w:ascii="Times New Roman" w:cs="Times New Roman" w:eastAsia="Times New Roman" w:hAnsi="Times New Roman"/>
          <w:sz w:val="18"/>
          <w:szCs w:val="18"/>
          <w:color w:val="auto"/>
        </w:rPr>
        <w:t>(Address of principal executive offices)</w:t>
      </w:r>
      <w:r>
        <w:rPr>
          <w:sz w:val="20"/>
          <w:szCs w:val="20"/>
          <w:color w:val="auto"/>
        </w:rPr>
        <w:tab/>
      </w:r>
      <w:r>
        <w:rPr>
          <w:rFonts w:ascii="Times New Roman" w:cs="Times New Roman" w:eastAsia="Times New Roman" w:hAnsi="Times New Roman"/>
          <w:sz w:val="18"/>
          <w:szCs w:val="18"/>
          <w:color w:val="auto"/>
        </w:rPr>
        <w:t>(Zip Code)</w:t>
      </w:r>
    </w:p>
    <w:p>
      <w:pPr>
        <w:sectPr>
          <w:pgSz w:w="11900" w:h="16838" w:orient="portrait"/>
          <w:cols w:equalWidth="0" w:num="1">
            <w:col w:w="11080"/>
          </w:cols>
          <w:pgMar w:left="320" w:top="202" w:right="499" w:bottom="1440" w:gutter="0" w:footer="0" w:header="0"/>
          <w:type w:val="continuous"/>
        </w:sectPr>
      </w:pPr>
    </w:p>
    <w:p>
      <w:pPr>
        <w:spacing w:after="0" w:line="12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(513) 762-6690</w:t>
      </w:r>
    </w:p>
    <w:p>
      <w:pPr>
        <w:spacing w:after="0" w:line="124" w:lineRule="exact"/>
        <w:rPr>
          <w:sz w:val="24"/>
          <w:szCs w:val="24"/>
          <w:color w:val="auto"/>
        </w:rPr>
      </w:pPr>
    </w:p>
    <w:p>
      <w:pPr>
        <w:ind w:right="520"/>
        <w:spacing w:after="0" w:line="250"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09" w:lineRule="exact"/>
        <w:rPr>
          <w:sz w:val="24"/>
          <w:szCs w:val="24"/>
          <w:color w:val="auto"/>
        </w:rPr>
      </w:pPr>
    </w:p>
    <w:p>
      <w:pPr>
        <w:spacing w:after="0"/>
        <w:tabs>
          <w:tab w:leader="none" w:pos="460" w:val="left"/>
        </w:tabs>
        <w:rPr>
          <w:sz w:val="20"/>
          <w:szCs w:val="20"/>
          <w:color w:val="auto"/>
        </w:rPr>
      </w:pPr>
      <w:r>
        <w:rPr>
          <w:rFonts w:ascii="Times New Roman" w:cs="Times New Roman" w:eastAsia="Times New Roman" w:hAnsi="Times New Roman"/>
          <w:sz w:val="18"/>
          <w:szCs w:val="18"/>
          <w:color w:val="auto"/>
        </w:rPr>
        <w:t>[_]</w:t>
        <w:tab/>
        <w:t>Written communications pursuant to Rule 425 under the Securities Act (17 CFR 230.425)</w:t>
      </w:r>
    </w:p>
    <w:p>
      <w:pPr>
        <w:spacing w:after="0" w:line="237" w:lineRule="auto"/>
        <w:tabs>
          <w:tab w:leader="none" w:pos="460" w:val="left"/>
        </w:tabs>
        <w:rPr>
          <w:sz w:val="20"/>
          <w:szCs w:val="20"/>
          <w:color w:val="auto"/>
        </w:rPr>
      </w:pPr>
      <w:r>
        <w:rPr>
          <w:rFonts w:ascii="Times New Roman" w:cs="Times New Roman" w:eastAsia="Times New Roman" w:hAnsi="Times New Roman"/>
          <w:sz w:val="18"/>
          <w:szCs w:val="18"/>
          <w:color w:val="auto"/>
        </w:rPr>
        <w:t>[_]</w:t>
        <w:tab/>
        <w:t>Soliciting material pursuant to Rule 14a-12 under the Exchange Act (17 CFR 240-14a-12)</w:t>
      </w:r>
    </w:p>
    <w:p>
      <w:pPr>
        <w:spacing w:after="0" w:line="219" w:lineRule="auto"/>
        <w:tabs>
          <w:tab w:leader="none" w:pos="460" w:val="left"/>
        </w:tabs>
        <w:rPr>
          <w:sz w:val="20"/>
          <w:szCs w:val="20"/>
          <w:color w:val="auto"/>
        </w:rPr>
      </w:pPr>
      <w:r>
        <w:rPr>
          <w:rFonts w:ascii="Times New Roman" w:cs="Times New Roman" w:eastAsia="Times New Roman" w:hAnsi="Times New Roman"/>
          <w:sz w:val="18"/>
          <w:szCs w:val="18"/>
          <w:color w:val="auto"/>
        </w:rPr>
        <w:t>[_]</w:t>
        <w:tab/>
        <w:t>Pre-commencement communications pursuant to Rule 14d-2(b) under Exchange Act (17 CFR 240-14d-2(b))</w:t>
      </w:r>
    </w:p>
    <w:p>
      <w:pPr>
        <w:spacing w:after="0"/>
        <w:tabs>
          <w:tab w:leader="none" w:pos="460" w:val="left"/>
        </w:tabs>
        <w:rPr>
          <w:sz w:val="20"/>
          <w:szCs w:val="20"/>
          <w:color w:val="auto"/>
        </w:rPr>
      </w:pPr>
      <w:r>
        <w:rPr>
          <w:rFonts w:ascii="Times New Roman" w:cs="Times New Roman" w:eastAsia="Times New Roman" w:hAnsi="Times New Roman"/>
          <w:sz w:val="18"/>
          <w:szCs w:val="18"/>
          <w:color w:val="auto"/>
        </w:rPr>
        <w:t>[_]</w:t>
        <w:tab/>
        <w:t>Pre-commencement communications pursuant to Rule 13e-4 (c) under Exchange Act (17 CFR 240-13e-4(c))</w:t>
      </w:r>
    </w:p>
    <w:p>
      <w:pPr>
        <w:spacing w:after="0" w:line="12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12(b) of the Act:</w:t>
      </w:r>
    </w:p>
    <w:p>
      <w:pPr>
        <w:sectPr>
          <w:pgSz w:w="11900" w:h="16838" w:orient="portrait"/>
          <w:cols w:equalWidth="0" w:num="1">
            <w:col w:w="11080"/>
          </w:cols>
          <w:pgMar w:left="320" w:top="202" w:right="499" w:bottom="1440" w:gutter="0" w:footer="0" w:header="0"/>
          <w:type w:val="continuous"/>
        </w:sectPr>
      </w:pPr>
    </w:p>
    <w:p>
      <w:pPr>
        <w:spacing w:after="0" w:line="397"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37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Trading symbol</w:t>
      </w:r>
    </w:p>
    <w:p>
      <w:pPr>
        <w:spacing w:after="0" w:line="20" w:lineRule="exact"/>
        <w:rPr>
          <w:sz w:val="24"/>
          <w:szCs w:val="24"/>
          <w:color w:val="auto"/>
        </w:rPr>
      </w:pPr>
      <w:r>
        <w:rPr>
          <w:sz w:val="24"/>
          <w:szCs w:val="24"/>
          <w:color w:val="auto"/>
        </w:rPr>
        <w:br w:type="column"/>
      </w:r>
    </w:p>
    <w:p>
      <w:pPr>
        <w:spacing w:after="0" w:line="174"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Name of each exchange on which</w:t>
      </w:r>
    </w:p>
    <w:p>
      <w:pPr>
        <w:spacing w:after="0" w:line="20"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registered</w:t>
      </w:r>
    </w:p>
    <w:p>
      <w:pPr>
        <w:spacing w:after="0" w:line="16" w:lineRule="exact"/>
        <w:rPr>
          <w:sz w:val="24"/>
          <w:szCs w:val="24"/>
          <w:color w:val="auto"/>
        </w:rPr>
      </w:pPr>
    </w:p>
    <w:p>
      <w:pPr>
        <w:sectPr>
          <w:pgSz w:w="11900" w:h="16838" w:orient="portrait"/>
          <w:cols w:equalWidth="0" w:num="3">
            <w:col w:w="4300" w:space="720"/>
            <w:col w:w="2260" w:space="720"/>
            <w:col w:w="3080"/>
          </w:cols>
          <w:pgMar w:left="320" w:top="202" w:right="499" w:bottom="1440" w:gutter="0" w:footer="0" w:header="0"/>
          <w:type w:val="continuous"/>
        </w:sectPr>
      </w:pPr>
    </w:p>
    <w:p>
      <w:pPr>
        <w:ind w:left="1020"/>
        <w:spacing w:after="0"/>
        <w:rPr>
          <w:sz w:val="20"/>
          <w:szCs w:val="20"/>
          <w:color w:val="auto"/>
        </w:rPr>
      </w:pPr>
      <w:r>
        <w:rPr>
          <w:rFonts w:ascii="Times New Roman" w:cs="Times New Roman" w:eastAsia="Times New Roman" w:hAnsi="Times New Roman"/>
          <w:sz w:val="17"/>
          <w:szCs w:val="17"/>
          <w:color w:val="auto"/>
        </w:rPr>
        <w:t>Capital stock $1 par value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CHE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NYSE</w:t>
      </w:r>
    </w:p>
    <w:p>
      <w:pPr>
        <w:spacing w:after="0" w:line="211" w:lineRule="exact"/>
        <w:rPr>
          <w:sz w:val="24"/>
          <w:szCs w:val="24"/>
          <w:color w:val="auto"/>
        </w:rPr>
      </w:pPr>
    </w:p>
    <w:p>
      <w:pPr>
        <w:sectPr>
          <w:pgSz w:w="11900" w:h="16838" w:orient="portrait"/>
          <w:cols w:equalWidth="0" w:num="3">
            <w:col w:w="4700" w:space="720"/>
            <w:col w:w="2880" w:space="720"/>
            <w:col w:w="2060"/>
          </w:cols>
          <w:pgMar w:left="320" w:top="202" w:right="499" w:bottom="1440" w:gutter="0" w:footer="0" w:header="0"/>
          <w:type w:val="continuous"/>
        </w:sectPr>
      </w:pPr>
    </w:p>
    <w:p>
      <w:pPr>
        <w:spacing w:after="0" w:line="12" w:lineRule="exact"/>
        <w:rPr>
          <w:sz w:val="24"/>
          <w:szCs w:val="24"/>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or Rule 12b-2 of the Securities Exchange Act of 1934. [_]</w:t>
      </w:r>
    </w:p>
    <w:p>
      <w:pPr>
        <w:spacing w:after="0" w:line="109" w:lineRule="exact"/>
        <w:rPr>
          <w:sz w:val="24"/>
          <w:szCs w:val="24"/>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[_]</w:t>
      </w:r>
    </w:p>
    <w:p>
      <w:pPr>
        <w:spacing w:after="0" w:line="35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Page 1 of 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202" w:right="499" w:bottom="1440" w:gutter="0" w:footer="0" w:header="0"/>
          <w:type w:val="continuous"/>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2.02</w:t>
        <w:tab/>
        <w:t>Results of Operations and Financial Condition</w:t>
      </w:r>
    </w:p>
    <w:p>
      <w:pPr>
        <w:spacing w:after="0" w:line="18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October 27, 2026, Chemed Corporation issued a press release announcing its financial results for the quarter ended September 30, 2026. A copy of the release is furnished herewith as Exhibit 99.</w:t>
      </w:r>
    </w:p>
    <w:p>
      <w:pPr>
        <w:spacing w:after="0" w:line="118"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tab/>
        <w:t>Financial Statements and Exhibits</w:t>
      </w:r>
    </w:p>
    <w:p>
      <w:pPr>
        <w:spacing w:after="0" w:line="202" w:lineRule="exact"/>
        <w:rPr>
          <w:sz w:val="20"/>
          <w:szCs w:val="20"/>
          <w:color w:val="auto"/>
        </w:rPr>
      </w:pPr>
    </w:p>
    <w:p>
      <w:pPr>
        <w:ind w:left="1180" w:hanging="1172"/>
        <w:spacing w:after="0"/>
        <w:tabs>
          <w:tab w:leader="none" w:pos="11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w:t>
      </w:r>
    </w:p>
    <w:p>
      <w:pPr>
        <w:spacing w:after="0" w:line="171" w:lineRule="exact"/>
        <w:rPr>
          <w:rFonts w:ascii="Times New Roman" w:cs="Times New Roman" w:eastAsia="Times New Roman" w:hAnsi="Times New Roman"/>
          <w:sz w:val="18"/>
          <w:szCs w:val="18"/>
          <w:color w:val="auto"/>
        </w:rPr>
      </w:pPr>
    </w:p>
    <w:p>
      <w:pPr>
        <w:ind w:left="1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563C1"/>
        </w:rPr>
        <w:t>(99) Registrant’s press release dated October 27,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750570</wp:posOffset>
            </wp:positionH>
            <wp:positionV relativeFrom="paragraph">
              <wp:posOffset>-7620</wp:posOffset>
            </wp:positionV>
            <wp:extent cx="2503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503170" cy="8890"/>
                    </a:xfrm>
                    <a:prstGeom prst="rect">
                      <a:avLst/>
                    </a:prstGeom>
                    <a:noFill/>
                  </pic:spPr>
                </pic:pic>
              </a:graphicData>
            </a:graphic>
          </wp:anchor>
        </w:drawing>
      </w:r>
    </w:p>
    <w:p>
      <w:pPr>
        <w:spacing w:after="0" w:line="84"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104 The cover page from this Current Report on Form 8-K formatted in Inline XBRL</w:t>
      </w:r>
    </w:p>
    <w:p>
      <w:pPr>
        <w:spacing w:after="0" w:line="200" w:lineRule="exact"/>
        <w:rPr>
          <w:sz w:val="20"/>
          <w:szCs w:val="20"/>
          <w:color w:val="auto"/>
        </w:rPr>
      </w:pPr>
    </w:p>
    <w:p>
      <w:pPr>
        <w:spacing w:after="0" w:line="36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Page 2 of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293" w:right="4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SIGNATURES</w:t>
      </w:r>
    </w:p>
    <w:p>
      <w:pPr>
        <w:spacing w:after="0" w:line="185" w:lineRule="exact"/>
        <w:rPr>
          <w:sz w:val="20"/>
          <w:szCs w:val="20"/>
          <w:color w:val="auto"/>
        </w:rPr>
      </w:pPr>
    </w:p>
    <w:p>
      <w:pPr>
        <w:ind w:right="180"/>
        <w:spacing w:after="0" w:line="25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caused this report to be signed on its behalf by the undersigned hereunto duly authorized.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7540" w:type="dxa"/>
            <w:vAlign w:val="bottom"/>
            <w:gridSpan w:val="3"/>
          </w:tcPr>
          <w:p>
            <w:pPr>
              <w:ind w:left="5040"/>
              <w:spacing w:after="0"/>
              <w:rPr>
                <w:sz w:val="20"/>
                <w:szCs w:val="20"/>
                <w:color w:val="auto"/>
              </w:rPr>
            </w:pPr>
            <w:r>
              <w:rPr>
                <w:rFonts w:ascii="Times New Roman" w:cs="Times New Roman" w:eastAsia="Times New Roman" w:hAnsi="Times New Roman"/>
                <w:sz w:val="18"/>
                <w:szCs w:val="18"/>
                <w:color w:val="auto"/>
              </w:rPr>
              <w:t>CHEMED CORPORATION</w:t>
            </w:r>
          </w:p>
        </w:tc>
      </w:tr>
      <w:tr>
        <w:trPr>
          <w:trHeight w:val="338"/>
        </w:trPr>
        <w:tc>
          <w:tcPr>
            <w:tcW w:w="3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Dated:  October 27, 2026</w:t>
            </w:r>
          </w:p>
        </w:tc>
        <w:tc>
          <w:tcPr>
            <w:tcW w:w="7540" w:type="dxa"/>
            <w:vAlign w:val="bottom"/>
            <w:gridSpan w:val="3"/>
          </w:tcPr>
          <w:p>
            <w:pPr>
              <w:ind w:left="5040"/>
              <w:spacing w:after="0"/>
              <w:rPr>
                <w:sz w:val="20"/>
                <w:szCs w:val="20"/>
                <w:color w:val="auto"/>
              </w:rPr>
            </w:pPr>
            <w:r>
              <w:rPr>
                <w:rFonts w:ascii="Times New Roman" w:cs="Times New Roman" w:eastAsia="Times New Roman" w:hAnsi="Times New Roman"/>
                <w:sz w:val="18"/>
                <w:szCs w:val="18"/>
                <w:color w:val="auto"/>
              </w:rPr>
              <w:t>By:  /s/ Michael D. Witzeman</w:t>
            </w:r>
          </w:p>
        </w:tc>
      </w:tr>
      <w:tr>
        <w:trPr>
          <w:trHeight w:val="20"/>
        </w:trPr>
        <w:tc>
          <w:tcPr>
            <w:tcW w:w="5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64"/>
        </w:trPr>
        <w:tc>
          <w:tcPr>
            <w:tcW w:w="5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7240" w:type="dxa"/>
            <w:vAlign w:val="bottom"/>
            <w:gridSpan w:val="2"/>
          </w:tcPr>
          <w:p>
            <w:pPr>
              <w:ind w:left="5440"/>
              <w:spacing w:after="0" w:line="164" w:lineRule="exact"/>
              <w:rPr>
                <w:sz w:val="20"/>
                <w:szCs w:val="20"/>
                <w:color w:val="auto"/>
              </w:rPr>
            </w:pPr>
            <w:r>
              <w:rPr>
                <w:rFonts w:ascii="Times New Roman" w:cs="Times New Roman" w:eastAsia="Times New Roman" w:hAnsi="Times New Roman"/>
                <w:sz w:val="18"/>
                <w:szCs w:val="18"/>
                <w:color w:val="auto"/>
              </w:rPr>
              <w:t>Michael D. Witzeman</w:t>
            </w:r>
          </w:p>
        </w:tc>
        <w:tc>
          <w:tcPr>
            <w:tcW w:w="300" w:type="dxa"/>
            <w:vAlign w:val="bottom"/>
          </w:tcPr>
          <w:p>
            <w:pPr>
              <w:spacing w:after="0"/>
              <w:rPr>
                <w:sz w:val="14"/>
                <w:szCs w:val="14"/>
                <w:color w:val="auto"/>
              </w:rPr>
            </w:pPr>
          </w:p>
        </w:tc>
      </w:tr>
      <w:tr>
        <w:trPr>
          <w:trHeight w:val="189"/>
        </w:trPr>
        <w:tc>
          <w:tcPr>
            <w:tcW w:w="5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7540" w:type="dxa"/>
            <w:vAlign w:val="bottom"/>
            <w:gridSpan w:val="3"/>
          </w:tcPr>
          <w:p>
            <w:pPr>
              <w:ind w:left="5440"/>
              <w:spacing w:after="0" w:line="189" w:lineRule="exact"/>
              <w:rPr>
                <w:sz w:val="20"/>
                <w:szCs w:val="20"/>
                <w:color w:val="auto"/>
              </w:rPr>
            </w:pPr>
            <w:r>
              <w:rPr>
                <w:rFonts w:ascii="Times New Roman" w:cs="Times New Roman" w:eastAsia="Times New Roman" w:hAnsi="Times New Roman"/>
                <w:sz w:val="18"/>
                <w:szCs w:val="18"/>
                <w:color w:val="auto"/>
                <w:w w:val="97"/>
              </w:rPr>
              <w:t>Executive Vice President and</w:t>
            </w:r>
          </w:p>
        </w:tc>
      </w:tr>
      <w:tr>
        <w:trPr>
          <w:trHeight w:val="234"/>
        </w:trPr>
        <w:tc>
          <w:tcPr>
            <w:tcW w:w="5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7540" w:type="dxa"/>
            <w:vAlign w:val="bottom"/>
            <w:gridSpan w:val="3"/>
          </w:tcPr>
          <w:p>
            <w:pPr>
              <w:ind w:left="544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580"/>
        </w:trPr>
        <w:tc>
          <w:tcPr>
            <w:tcW w:w="5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7540" w:type="dxa"/>
            <w:vAlign w:val="bottom"/>
            <w:gridSpan w:val="3"/>
          </w:tcPr>
          <w:p>
            <w:pPr>
              <w:ind w:left="1680"/>
              <w:spacing w:after="0"/>
              <w:rPr>
                <w:sz w:val="20"/>
                <w:szCs w:val="20"/>
                <w:color w:val="auto"/>
              </w:rPr>
            </w:pPr>
            <w:r>
              <w:rPr>
                <w:rFonts w:ascii="Times New Roman" w:cs="Times New Roman" w:eastAsia="Times New Roman" w:hAnsi="Times New Roman"/>
                <w:sz w:val="18"/>
                <w:szCs w:val="18"/>
                <w:color w:val="auto"/>
              </w:rPr>
              <w:t>Page 3 of 3</w:t>
            </w:r>
          </w:p>
        </w:tc>
      </w:tr>
    </w:tbl>
    <w:p>
      <w:pPr>
        <w:sectPr>
          <w:pgSz w:w="11900" w:h="16838" w:orient="portrait"/>
          <w:cols w:equalWidth="0" w:num="1">
            <w:col w:w="11080"/>
          </w:cols>
          <w:pgMar w:left="320" w:top="499" w:right="499" w:bottom="1440" w:gutter="0" w:footer="0" w:header="0"/>
        </w:sectPr>
      </w:pPr>
    </w:p>
    <w:bookmarkStart w:id="3" w:name="page4"/>
    <w:bookmarkEnd w:id="3"/>
    <w:p>
      <w:pPr>
        <w:spacing w:after="0" w:line="3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88900</wp:posOffset>
            </wp:positionV>
            <wp:extent cx="5349240" cy="9175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5349240" cy="917575"/>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22"/>
          <w:szCs w:val="22"/>
          <w:color w:val="auto"/>
        </w:rPr>
        <w:t>CONTACT: Michael D. Witzeman</w:t>
      </w:r>
    </w:p>
    <w:p>
      <w:pPr>
        <w:ind w:left="180"/>
        <w:spacing w:after="0"/>
        <w:rPr>
          <w:sz w:val="20"/>
          <w:szCs w:val="20"/>
          <w:color w:val="auto"/>
        </w:rPr>
      </w:pPr>
      <w:r>
        <w:rPr>
          <w:rFonts w:ascii="Times New Roman" w:cs="Times New Roman" w:eastAsia="Times New Roman" w:hAnsi="Times New Roman"/>
          <w:sz w:val="22"/>
          <w:szCs w:val="22"/>
          <w:color w:val="auto"/>
        </w:rPr>
        <w:t>(513) 762-6714</w:t>
      </w:r>
    </w:p>
    <w:p>
      <w:pPr>
        <w:spacing w:after="0" w:line="1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5"/>
          <w:szCs w:val="25"/>
          <w:b w:val="1"/>
          <w:bCs w:val="1"/>
          <w:color w:val="auto"/>
        </w:rPr>
        <w:t>Chemed Reports Third-Quarter 2026 Results</w:t>
      </w:r>
    </w:p>
    <w:p>
      <w:pPr>
        <w:spacing w:after="0" w:line="200" w:lineRule="exact"/>
        <w:rPr>
          <w:sz w:val="20"/>
          <w:szCs w:val="20"/>
          <w:color w:val="auto"/>
        </w:rPr>
      </w:pPr>
    </w:p>
    <w:p>
      <w:pPr>
        <w:spacing w:after="0" w:line="203" w:lineRule="exact"/>
        <w:rPr>
          <w:sz w:val="20"/>
          <w:szCs w:val="20"/>
          <w:color w:val="auto"/>
        </w:rPr>
      </w:pPr>
    </w:p>
    <w:p>
      <w:pPr>
        <w:jc w:val="both"/>
        <w:ind w:left="180" w:right="199"/>
        <w:spacing w:after="0" w:line="217" w:lineRule="auto"/>
        <w:rPr>
          <w:sz w:val="20"/>
          <w:szCs w:val="20"/>
          <w:color w:val="auto"/>
        </w:rPr>
      </w:pPr>
      <w:r>
        <w:rPr>
          <w:rFonts w:ascii="Times New Roman" w:cs="Times New Roman" w:eastAsia="Times New Roman" w:hAnsi="Times New Roman"/>
          <w:sz w:val="22"/>
          <w:szCs w:val="22"/>
          <w:color w:val="auto"/>
        </w:rPr>
        <w:t>CINCINNATI, October 27, 2026—</w:t>
      </w:r>
      <w:r>
        <w:rPr>
          <w:rFonts w:ascii="Times New Roman" w:cs="Times New Roman" w:eastAsia="Times New Roman" w:hAnsi="Times New Roman"/>
          <w:sz w:val="22"/>
          <w:szCs w:val="22"/>
          <w:u w:val="single" w:color="auto"/>
          <w:color w:val="0000FF"/>
        </w:rPr>
        <w:t>Chemed Corporation</w:t>
      </w:r>
      <w:r>
        <w:rPr>
          <w:rFonts w:ascii="Times New Roman" w:cs="Times New Roman" w:eastAsia="Times New Roman" w:hAnsi="Times New Roman"/>
          <w:sz w:val="22"/>
          <w:szCs w:val="22"/>
          <w:color w:val="auto"/>
        </w:rPr>
        <w:t xml:space="preserve"> (Chemed) (NYSE: CHE), which operates </w:t>
      </w:r>
      <w:r>
        <w:rPr>
          <w:rFonts w:ascii="Times New Roman" w:cs="Times New Roman" w:eastAsia="Times New Roman" w:hAnsi="Times New Roman"/>
          <w:sz w:val="22"/>
          <w:szCs w:val="22"/>
          <w:u w:val="single" w:color="auto"/>
          <w:color w:val="0000FF"/>
        </w:rPr>
        <w:t>VITAS Healthcare Corporation</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(VITAS), the nation’s largest providers of end-of-life care, and</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u w:val="single" w:color="auto"/>
          <w:color w:val="0000FF"/>
        </w:rPr>
        <w:t>Roto-Rooter</w:t>
      </w:r>
      <w:r>
        <w:rPr>
          <w:rFonts w:ascii="Times New Roman" w:cs="Times New Roman" w:eastAsia="Times New Roman" w:hAnsi="Times New Roman"/>
          <w:sz w:val="22"/>
          <w:szCs w:val="22"/>
          <w:color w:val="000000"/>
        </w:rPr>
        <w:t>, the nation’s largest commercial and residential plumbing and drain cleaning services</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provider, reported financial results for its third quarter ended September 30, 2026, versus the comparable prior-year period.</w:t>
      </w:r>
    </w:p>
    <w:p>
      <w:pPr>
        <w:spacing w:after="0" w:line="152"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22"/>
          <w:szCs w:val="22"/>
          <w:u w:val="single" w:color="auto"/>
          <w:color w:val="auto"/>
        </w:rPr>
        <w:t>Results for Quarter Ended September 30, 2026</w:t>
      </w:r>
    </w:p>
    <w:p>
      <w:pPr>
        <w:spacing w:after="0" w:line="15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Consolidated operating results:</w:t>
      </w:r>
    </w:p>
    <w:p>
      <w:pPr>
        <w:ind w:left="840" w:hanging="332"/>
        <w:spacing w:after="0" w:line="214" w:lineRule="auto"/>
        <w:tabs>
          <w:tab w:leader="none" w:pos="840" w:val="left"/>
        </w:tabs>
        <w:numPr>
          <w:ilvl w:val="0"/>
          <w:numId w:val="2"/>
        </w:numPr>
        <w:rPr>
          <w:rFonts w:ascii="Arial" w:cs="Arial" w:eastAsia="Arial" w:hAnsi="Arial"/>
          <w:sz w:val="22"/>
          <w:szCs w:val="22"/>
          <w:b w:val="1"/>
          <w:bCs w:val="1"/>
          <w:color w:val="auto"/>
        </w:rPr>
      </w:pPr>
      <w:r>
        <w:rPr>
          <w:rFonts w:ascii="Times New Roman" w:cs="Times New Roman" w:eastAsia="Times New Roman" w:hAnsi="Times New Roman"/>
          <w:sz w:val="22"/>
          <w:szCs w:val="22"/>
          <w:color w:val="auto"/>
        </w:rPr>
        <w:t>Revenue increased 10.6% to $690.9 million</w:t>
      </w:r>
    </w:p>
    <w:p>
      <w:pPr>
        <w:ind w:left="840" w:hanging="332"/>
        <w:spacing w:after="0" w:line="204" w:lineRule="auto"/>
        <w:tabs>
          <w:tab w:leader="none" w:pos="840" w:val="left"/>
        </w:tabs>
        <w:numPr>
          <w:ilvl w:val="0"/>
          <w:numId w:val="2"/>
        </w:numPr>
        <w:rPr>
          <w:rFonts w:ascii="Arial" w:cs="Arial" w:eastAsia="Arial" w:hAnsi="Arial"/>
          <w:sz w:val="22"/>
          <w:szCs w:val="22"/>
          <w:b w:val="1"/>
          <w:bCs w:val="1"/>
          <w:color w:val="auto"/>
        </w:rPr>
      </w:pPr>
      <w:r>
        <w:rPr>
          <w:rFonts w:ascii="Times New Roman" w:cs="Times New Roman" w:eastAsia="Times New Roman" w:hAnsi="Times New Roman"/>
          <w:sz w:val="22"/>
          <w:szCs w:val="22"/>
          <w:color w:val="auto"/>
        </w:rPr>
        <w:t>GAAP Diluted Earnings-per-Share (EPS) of $5.45, an increase of 22.2%</w:t>
      </w:r>
    </w:p>
    <w:p>
      <w:pPr>
        <w:ind w:left="840" w:hanging="332"/>
        <w:spacing w:after="0"/>
        <w:tabs>
          <w:tab w:leader="none" w:pos="840" w:val="left"/>
        </w:tabs>
        <w:numPr>
          <w:ilvl w:val="0"/>
          <w:numId w:val="2"/>
        </w:numPr>
        <w:rPr>
          <w:rFonts w:ascii="Arial" w:cs="Arial" w:eastAsia="Arial" w:hAnsi="Arial"/>
          <w:sz w:val="22"/>
          <w:szCs w:val="22"/>
          <w:b w:val="1"/>
          <w:bCs w:val="1"/>
          <w:color w:val="auto"/>
        </w:rPr>
      </w:pPr>
      <w:r>
        <w:rPr>
          <w:rFonts w:ascii="Times New Roman" w:cs="Times New Roman" w:eastAsia="Times New Roman" w:hAnsi="Times New Roman"/>
          <w:sz w:val="22"/>
          <w:szCs w:val="22"/>
          <w:color w:val="auto"/>
        </w:rPr>
        <w:t>Adjusted Diluted EPS of $6.75, an increase of 28.1%</w:t>
      </w:r>
    </w:p>
    <w:p>
      <w:pPr>
        <w:spacing w:after="0" w:line="13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VITAS segment operating results:</w:t>
      </w:r>
    </w:p>
    <w:p>
      <w:pPr>
        <w:ind w:left="840" w:hanging="332"/>
        <w:spacing w:after="0" w:line="214" w:lineRule="auto"/>
        <w:tabs>
          <w:tab w:leader="none" w:pos="840" w:val="left"/>
        </w:tabs>
        <w:numPr>
          <w:ilvl w:val="0"/>
          <w:numId w:val="3"/>
        </w:numPr>
        <w:rPr>
          <w:rFonts w:ascii="Arial" w:cs="Arial" w:eastAsia="Arial" w:hAnsi="Arial"/>
          <w:sz w:val="22"/>
          <w:szCs w:val="22"/>
          <w:b w:val="1"/>
          <w:bCs w:val="1"/>
          <w:color w:val="auto"/>
        </w:rPr>
      </w:pPr>
      <w:r>
        <w:rPr>
          <w:rFonts w:ascii="Times New Roman" w:cs="Times New Roman" w:eastAsia="Times New Roman" w:hAnsi="Times New Roman"/>
          <w:sz w:val="22"/>
          <w:szCs w:val="22"/>
          <w:color w:val="auto"/>
        </w:rPr>
        <w:t>Net Patient Revenue of $457.4 million, an increase of 12.2%</w:t>
      </w:r>
    </w:p>
    <w:p>
      <w:pPr>
        <w:ind w:left="840" w:hanging="332"/>
        <w:spacing w:after="0" w:line="204" w:lineRule="auto"/>
        <w:tabs>
          <w:tab w:leader="none" w:pos="840" w:val="left"/>
        </w:tabs>
        <w:numPr>
          <w:ilvl w:val="0"/>
          <w:numId w:val="3"/>
        </w:numPr>
        <w:rPr>
          <w:rFonts w:ascii="Arial" w:cs="Arial" w:eastAsia="Arial" w:hAnsi="Arial"/>
          <w:sz w:val="22"/>
          <w:szCs w:val="22"/>
          <w:b w:val="1"/>
          <w:bCs w:val="1"/>
          <w:color w:val="auto"/>
        </w:rPr>
      </w:pPr>
      <w:r>
        <w:rPr>
          <w:rFonts w:ascii="Times New Roman" w:cs="Times New Roman" w:eastAsia="Times New Roman" w:hAnsi="Times New Roman"/>
          <w:sz w:val="22"/>
          <w:szCs w:val="22"/>
          <w:color w:val="auto"/>
        </w:rPr>
        <w:t>Average Daily Census (ADC) of 24,428, an increase of 9.4%</w:t>
      </w:r>
    </w:p>
    <w:p>
      <w:pPr>
        <w:ind w:left="840" w:hanging="332"/>
        <w:spacing w:after="0" w:line="204" w:lineRule="auto"/>
        <w:tabs>
          <w:tab w:leader="none" w:pos="840" w:val="left"/>
        </w:tabs>
        <w:numPr>
          <w:ilvl w:val="0"/>
          <w:numId w:val="3"/>
        </w:numPr>
        <w:rPr>
          <w:rFonts w:ascii="Arial" w:cs="Arial" w:eastAsia="Arial" w:hAnsi="Arial"/>
          <w:sz w:val="22"/>
          <w:szCs w:val="22"/>
          <w:b w:val="1"/>
          <w:bCs w:val="1"/>
          <w:color w:val="auto"/>
        </w:rPr>
      </w:pPr>
      <w:r>
        <w:rPr>
          <w:rFonts w:ascii="Times New Roman" w:cs="Times New Roman" w:eastAsia="Times New Roman" w:hAnsi="Times New Roman"/>
          <w:sz w:val="22"/>
          <w:szCs w:val="22"/>
          <w:color w:val="auto"/>
        </w:rPr>
        <w:t>Admissions of 18,995, an increase of 7.2%</w:t>
      </w:r>
    </w:p>
    <w:p>
      <w:pPr>
        <w:ind w:left="840" w:hanging="332"/>
        <w:spacing w:after="0" w:line="204" w:lineRule="auto"/>
        <w:tabs>
          <w:tab w:leader="none" w:pos="840" w:val="left"/>
        </w:tabs>
        <w:numPr>
          <w:ilvl w:val="0"/>
          <w:numId w:val="3"/>
        </w:numPr>
        <w:rPr>
          <w:rFonts w:ascii="Arial" w:cs="Arial" w:eastAsia="Arial" w:hAnsi="Arial"/>
          <w:sz w:val="22"/>
          <w:szCs w:val="22"/>
          <w:b w:val="1"/>
          <w:bCs w:val="1"/>
          <w:color w:val="auto"/>
        </w:rPr>
      </w:pPr>
      <w:r>
        <w:rPr>
          <w:rFonts w:ascii="Times New Roman" w:cs="Times New Roman" w:eastAsia="Times New Roman" w:hAnsi="Times New Roman"/>
          <w:sz w:val="22"/>
          <w:szCs w:val="22"/>
          <w:color w:val="auto"/>
        </w:rPr>
        <w:t>Net Income, excluding certain discrete items, of $70.8 million, an increase of 44.7%</w:t>
      </w:r>
    </w:p>
    <w:p>
      <w:pPr>
        <w:ind w:left="840" w:hanging="332"/>
        <w:spacing w:after="0" w:line="204" w:lineRule="auto"/>
        <w:tabs>
          <w:tab w:leader="none" w:pos="840" w:val="left"/>
        </w:tabs>
        <w:numPr>
          <w:ilvl w:val="0"/>
          <w:numId w:val="3"/>
        </w:numPr>
        <w:rPr>
          <w:rFonts w:ascii="Arial" w:cs="Arial" w:eastAsia="Arial" w:hAnsi="Arial"/>
          <w:sz w:val="22"/>
          <w:szCs w:val="22"/>
          <w:b w:val="1"/>
          <w:bCs w:val="1"/>
          <w:color w:val="auto"/>
        </w:rPr>
      </w:pPr>
      <w:r>
        <w:rPr>
          <w:rFonts w:ascii="Times New Roman" w:cs="Times New Roman" w:eastAsia="Times New Roman" w:hAnsi="Times New Roman"/>
          <w:sz w:val="22"/>
          <w:szCs w:val="22"/>
          <w:color w:val="auto"/>
        </w:rPr>
        <w:t>Adjusted EBITDA, excluding Medicare Cap, of $92.5 million, an increase of 31.4%</w:t>
      </w:r>
    </w:p>
    <w:p>
      <w:pPr>
        <w:ind w:left="840" w:right="199" w:hanging="332"/>
        <w:spacing w:after="0" w:line="224" w:lineRule="auto"/>
        <w:tabs>
          <w:tab w:leader="none" w:pos="840" w:val="left"/>
        </w:tabs>
        <w:numPr>
          <w:ilvl w:val="0"/>
          <w:numId w:val="3"/>
        </w:numPr>
        <w:rPr>
          <w:rFonts w:ascii="Arial" w:cs="Arial" w:eastAsia="Arial" w:hAnsi="Arial"/>
          <w:sz w:val="22"/>
          <w:szCs w:val="22"/>
          <w:b w:val="1"/>
          <w:bCs w:val="1"/>
          <w:color w:val="auto"/>
        </w:rPr>
      </w:pPr>
      <w:r>
        <w:rPr>
          <w:rFonts w:ascii="Times New Roman" w:cs="Times New Roman" w:eastAsia="Times New Roman" w:hAnsi="Times New Roman"/>
          <w:sz w:val="22"/>
          <w:szCs w:val="22"/>
          <w:color w:val="auto"/>
        </w:rPr>
        <w:t>Adjusted EBITDA margin, excluding Medicare Cap, of 20.2%, an increase of 318-basis points</w:t>
      </w:r>
    </w:p>
    <w:p>
      <w:pPr>
        <w:spacing w:after="0" w:line="1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Roto-Rooter segment operating results:</w:t>
      </w:r>
    </w:p>
    <w:p>
      <w:pPr>
        <w:ind w:left="840" w:hanging="332"/>
        <w:spacing w:after="0" w:line="214" w:lineRule="auto"/>
        <w:tabs>
          <w:tab w:leader="none" w:pos="840" w:val="left"/>
        </w:tabs>
        <w:numPr>
          <w:ilvl w:val="0"/>
          <w:numId w:val="4"/>
        </w:numPr>
        <w:rPr>
          <w:rFonts w:ascii="Arial" w:cs="Arial" w:eastAsia="Arial" w:hAnsi="Arial"/>
          <w:sz w:val="22"/>
          <w:szCs w:val="22"/>
          <w:b w:val="1"/>
          <w:bCs w:val="1"/>
          <w:color w:val="auto"/>
        </w:rPr>
      </w:pPr>
      <w:r>
        <w:rPr>
          <w:rFonts w:ascii="Times New Roman" w:cs="Times New Roman" w:eastAsia="Times New Roman" w:hAnsi="Times New Roman"/>
          <w:sz w:val="22"/>
          <w:szCs w:val="22"/>
          <w:color w:val="auto"/>
        </w:rPr>
        <w:t>Revenue of $233.5 million, an increase of 7.5%</w:t>
      </w:r>
    </w:p>
    <w:p>
      <w:pPr>
        <w:ind w:left="840" w:hanging="332"/>
        <w:spacing w:after="0" w:line="204" w:lineRule="auto"/>
        <w:tabs>
          <w:tab w:leader="none" w:pos="840" w:val="left"/>
        </w:tabs>
        <w:numPr>
          <w:ilvl w:val="0"/>
          <w:numId w:val="4"/>
        </w:numPr>
        <w:rPr>
          <w:rFonts w:ascii="Arial" w:cs="Arial" w:eastAsia="Arial" w:hAnsi="Arial"/>
          <w:sz w:val="22"/>
          <w:szCs w:val="22"/>
          <w:b w:val="1"/>
          <w:bCs w:val="1"/>
          <w:color w:val="auto"/>
        </w:rPr>
      </w:pPr>
      <w:r>
        <w:rPr>
          <w:rFonts w:ascii="Times New Roman" w:cs="Times New Roman" w:eastAsia="Times New Roman" w:hAnsi="Times New Roman"/>
          <w:sz w:val="22"/>
          <w:szCs w:val="22"/>
          <w:color w:val="auto"/>
        </w:rPr>
        <w:t>Net Income, excluding certain discrete items, of $33.3 million, a decline of 1.8%</w:t>
      </w:r>
    </w:p>
    <w:p>
      <w:pPr>
        <w:ind w:left="840" w:hanging="332"/>
        <w:spacing w:after="0" w:line="204" w:lineRule="auto"/>
        <w:tabs>
          <w:tab w:leader="none" w:pos="840" w:val="left"/>
        </w:tabs>
        <w:numPr>
          <w:ilvl w:val="0"/>
          <w:numId w:val="4"/>
        </w:numPr>
        <w:rPr>
          <w:rFonts w:ascii="Arial" w:cs="Arial" w:eastAsia="Arial" w:hAnsi="Arial"/>
          <w:sz w:val="22"/>
          <w:szCs w:val="22"/>
          <w:b w:val="1"/>
          <w:bCs w:val="1"/>
          <w:color w:val="auto"/>
        </w:rPr>
      </w:pPr>
      <w:r>
        <w:rPr>
          <w:rFonts w:ascii="Times New Roman" w:cs="Times New Roman" w:eastAsia="Times New Roman" w:hAnsi="Times New Roman"/>
          <w:sz w:val="22"/>
          <w:szCs w:val="22"/>
          <w:color w:val="auto"/>
        </w:rPr>
        <w:t>Adjusted EBITDA of $48.2 million, a decline of 2.5%</w:t>
      </w:r>
    </w:p>
    <w:p>
      <w:pPr>
        <w:ind w:left="840" w:hanging="332"/>
        <w:spacing w:after="0"/>
        <w:tabs>
          <w:tab w:leader="none" w:pos="840" w:val="left"/>
        </w:tabs>
        <w:numPr>
          <w:ilvl w:val="0"/>
          <w:numId w:val="4"/>
        </w:numPr>
        <w:rPr>
          <w:rFonts w:ascii="Arial" w:cs="Arial" w:eastAsia="Arial" w:hAnsi="Arial"/>
          <w:sz w:val="22"/>
          <w:szCs w:val="22"/>
          <w:b w:val="1"/>
          <w:bCs w:val="1"/>
          <w:color w:val="auto"/>
        </w:rPr>
      </w:pPr>
      <w:r>
        <w:rPr>
          <w:rFonts w:ascii="Times New Roman" w:cs="Times New Roman" w:eastAsia="Times New Roman" w:hAnsi="Times New Roman"/>
          <w:sz w:val="22"/>
          <w:szCs w:val="22"/>
          <w:color w:val="auto"/>
        </w:rPr>
        <w:t>Adjusted EBITDA margin of 20.6%, a decline of 213-basis points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796925</wp:posOffset>
            </wp:positionV>
            <wp:extent cx="5528945" cy="508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22"/>
          <w:szCs w:val="22"/>
          <w:u w:val="single" w:color="auto"/>
          <w:color w:val="auto"/>
        </w:rPr>
        <w:t>VITAS</w:t>
      </w:r>
    </w:p>
    <w:p>
      <w:pPr>
        <w:spacing w:after="0" w:line="179" w:lineRule="exact"/>
        <w:rPr>
          <w:sz w:val="20"/>
          <w:szCs w:val="20"/>
          <w:color w:val="auto"/>
        </w:rPr>
      </w:pPr>
    </w:p>
    <w:p>
      <w:pPr>
        <w:jc w:val="both"/>
        <w:ind w:left="180" w:right="199"/>
        <w:spacing w:after="0" w:line="213" w:lineRule="auto"/>
        <w:rPr>
          <w:sz w:val="20"/>
          <w:szCs w:val="20"/>
          <w:color w:val="auto"/>
        </w:rPr>
      </w:pPr>
      <w:r>
        <w:rPr>
          <w:rFonts w:ascii="Times New Roman" w:cs="Times New Roman" w:eastAsia="Times New Roman" w:hAnsi="Times New Roman"/>
          <w:sz w:val="22"/>
          <w:szCs w:val="22"/>
          <w:color w:val="auto"/>
        </w:rPr>
        <w:t>VITAS net revenue was $457.4 million in the third quarter of 2026, which is an increase of 12.2% when compared to the prior-year period. This revenue increase is comprised primarily of a 9.4% increase in days-of-care and a geographically weighted average Medicare reimbursement rate increase of approximately 2.2%. Acuity mix shift negatively impacted revenue growth 25-basis points in the quarter when compared to the prior-year period’s revenue and level-of-care mix. The combination of Medicare Cap and other contra revenue changes positively impacted revenue growth by 85-basis points.</w:t>
      </w:r>
    </w:p>
    <w:p>
      <w:pPr>
        <w:spacing w:after="0" w:line="156" w:lineRule="exact"/>
        <w:rPr>
          <w:sz w:val="20"/>
          <w:szCs w:val="20"/>
          <w:color w:val="auto"/>
        </w:rPr>
      </w:pPr>
    </w:p>
    <w:p>
      <w:pPr>
        <w:jc w:val="both"/>
        <w:ind w:left="180" w:right="199"/>
        <w:spacing w:after="0" w:line="236" w:lineRule="auto"/>
        <w:rPr>
          <w:sz w:val="20"/>
          <w:szCs w:val="20"/>
          <w:color w:val="auto"/>
        </w:rPr>
      </w:pPr>
      <w:r>
        <w:rPr>
          <w:rFonts w:ascii="Times New Roman" w:cs="Times New Roman" w:eastAsia="Times New Roman" w:hAnsi="Times New Roman"/>
          <w:sz w:val="22"/>
          <w:szCs w:val="22"/>
          <w:color w:val="auto"/>
        </w:rPr>
        <w:t>Total VITAS admissions increased 7.2% in the third quarter of 2026 compared to the third quarter of 2025.</w:t>
      </w:r>
    </w:p>
    <w:p>
      <w:pPr>
        <w:spacing w:after="0" w:line="150" w:lineRule="exact"/>
        <w:rPr>
          <w:sz w:val="20"/>
          <w:szCs w:val="20"/>
          <w:color w:val="auto"/>
        </w:rPr>
      </w:pPr>
    </w:p>
    <w:p>
      <w:pPr>
        <w:jc w:val="both"/>
        <w:ind w:left="180" w:right="199"/>
        <w:spacing w:after="0" w:line="220" w:lineRule="auto"/>
        <w:rPr>
          <w:sz w:val="20"/>
          <w:szCs w:val="20"/>
          <w:color w:val="auto"/>
        </w:rPr>
      </w:pPr>
      <w:r>
        <w:rPr>
          <w:rFonts w:ascii="Times New Roman" w:cs="Times New Roman" w:eastAsia="Times New Roman" w:hAnsi="Times New Roman"/>
          <w:sz w:val="22"/>
          <w:szCs w:val="22"/>
          <w:color w:val="auto"/>
        </w:rPr>
        <w:t>In the third quarter of 2026, VITAS accrued $828,000 in Medicare Cap billing limitation. This compares to the Medicare Cap billing limitation recorded in the third quarter of 2025 of $6.1 million. No Medicare Cap billing limitation was recorded in the third quarter of 2026 for the Florida combined program, and none is anticipated for the 2026 fiscal period.</w:t>
      </w:r>
    </w:p>
    <w:p>
      <w:pPr>
        <w:spacing w:after="0" w:line="152" w:lineRule="exact"/>
        <w:rPr>
          <w:sz w:val="20"/>
          <w:szCs w:val="20"/>
          <w:color w:val="auto"/>
        </w:rPr>
      </w:pPr>
    </w:p>
    <w:p>
      <w:pPr>
        <w:jc w:val="both"/>
        <w:ind w:left="180" w:right="199"/>
        <w:spacing w:after="0" w:line="225" w:lineRule="auto"/>
        <w:rPr>
          <w:sz w:val="20"/>
          <w:szCs w:val="20"/>
          <w:color w:val="auto"/>
        </w:rPr>
      </w:pPr>
      <w:r>
        <w:rPr>
          <w:rFonts w:ascii="Times New Roman" w:cs="Times New Roman" w:eastAsia="Times New Roman" w:hAnsi="Times New Roman"/>
          <w:sz w:val="22"/>
          <w:szCs w:val="22"/>
          <w:color w:val="auto"/>
        </w:rPr>
        <w:t>Of VITAS’ 33 Medicare provider numbers, 21 provider numbers have an anticipated full-year Medicare Cap cushion of 10% or greater, seven provider numbers have a cushion between 0% and 10%, and five provider numbers have a Medicare Cap billing limitation totaling $6.1 million.</w:t>
      </w:r>
    </w:p>
    <w:p>
      <w:pPr>
        <w:spacing w:after="0" w:line="152" w:lineRule="exact"/>
        <w:rPr>
          <w:sz w:val="20"/>
          <w:szCs w:val="20"/>
          <w:color w:val="auto"/>
        </w:rPr>
      </w:pPr>
    </w:p>
    <w:p>
      <w:pPr>
        <w:jc w:val="both"/>
        <w:ind w:left="180" w:right="199"/>
        <w:spacing w:after="0" w:line="220" w:lineRule="auto"/>
        <w:rPr>
          <w:sz w:val="20"/>
          <w:szCs w:val="20"/>
          <w:color w:val="auto"/>
        </w:rPr>
      </w:pPr>
      <w:r>
        <w:rPr>
          <w:rFonts w:ascii="Times New Roman" w:cs="Times New Roman" w:eastAsia="Times New Roman" w:hAnsi="Times New Roman"/>
          <w:sz w:val="22"/>
          <w:szCs w:val="22"/>
          <w:color w:val="auto"/>
        </w:rPr>
        <w:t>Average revenue per patient per day in the third quarter of 2026 was $209.11 which is 196-basis points above the prior-year period. Reimbursement for routine home care and high-acuity care averaged $187.69 and $1,147.26, respectively. During the quarter, high-acuity days-of-care were 2.2% of total days of care, a decline of 5-basis points when compared to the prior-year quarter.</w:t>
      </w:r>
    </w:p>
    <w:p>
      <w:pPr>
        <w:spacing w:after="0" w:line="152" w:lineRule="exact"/>
        <w:rPr>
          <w:sz w:val="20"/>
          <w:szCs w:val="20"/>
          <w:color w:val="auto"/>
        </w:rPr>
      </w:pPr>
    </w:p>
    <w:p>
      <w:pPr>
        <w:jc w:val="both"/>
        <w:ind w:left="180" w:right="199"/>
        <w:spacing w:after="0" w:line="225" w:lineRule="auto"/>
        <w:rPr>
          <w:sz w:val="20"/>
          <w:szCs w:val="20"/>
          <w:color w:val="auto"/>
        </w:rPr>
      </w:pPr>
      <w:r>
        <w:rPr>
          <w:rFonts w:ascii="Times New Roman" w:cs="Times New Roman" w:eastAsia="Times New Roman" w:hAnsi="Times New Roman"/>
          <w:sz w:val="22"/>
          <w:szCs w:val="22"/>
          <w:color w:val="auto"/>
        </w:rPr>
        <w:t>The third quarter 2026 gross margin, excluding Medicare Cap, was 25.4%, a 221-basis point increase from the same period of 2025. Selling, general and administrative expenses were $23.1 million in the third quarter of 2026 compared to $25.2 million in the prior-year quarter.</w:t>
      </w:r>
    </w:p>
    <w:p>
      <w:pPr>
        <w:spacing w:after="0" w:line="153" w:lineRule="exact"/>
        <w:rPr>
          <w:sz w:val="20"/>
          <w:szCs w:val="20"/>
          <w:color w:val="auto"/>
        </w:rPr>
      </w:pPr>
    </w:p>
    <w:p>
      <w:pPr>
        <w:jc w:val="both"/>
        <w:ind w:left="180" w:right="199"/>
        <w:spacing w:after="0" w:line="225" w:lineRule="auto"/>
        <w:rPr>
          <w:sz w:val="20"/>
          <w:szCs w:val="20"/>
          <w:color w:val="auto"/>
        </w:rPr>
      </w:pPr>
      <w:r>
        <w:rPr>
          <w:rFonts w:ascii="Times New Roman" w:cs="Times New Roman" w:eastAsia="Times New Roman" w:hAnsi="Times New Roman"/>
          <w:sz w:val="22"/>
          <w:szCs w:val="22"/>
          <w:color w:val="auto"/>
        </w:rPr>
        <w:t>Adjusted EBITDA, excluding Medicare Cap, totaled $92.5 million in the quarter, an increase of 31.4% when compared to the prior-year period. Adjusted EBITDA margin in the quarter, excluding Medicare Cap, was 20.2%.</w:t>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u w:val="single" w:color="auto"/>
          <w:color w:val="auto"/>
        </w:rPr>
        <w:t>Roto-Rooter</w:t>
      </w:r>
    </w:p>
    <w:p>
      <w:pPr>
        <w:spacing w:after="0" w:line="179" w:lineRule="exact"/>
        <w:rPr>
          <w:sz w:val="20"/>
          <w:szCs w:val="20"/>
          <w:color w:val="auto"/>
        </w:rPr>
      </w:pPr>
    </w:p>
    <w:p>
      <w:pPr>
        <w:jc w:val="both"/>
        <w:ind w:left="180" w:right="199"/>
        <w:spacing w:after="0" w:line="236" w:lineRule="auto"/>
        <w:rPr>
          <w:sz w:val="20"/>
          <w:szCs w:val="20"/>
          <w:color w:val="auto"/>
        </w:rPr>
      </w:pPr>
      <w:r>
        <w:rPr>
          <w:rFonts w:ascii="Times New Roman" w:cs="Times New Roman" w:eastAsia="Times New Roman" w:hAnsi="Times New Roman"/>
          <w:sz w:val="22"/>
          <w:szCs w:val="22"/>
          <w:color w:val="auto"/>
        </w:rPr>
        <w:t>Roto-Rooter generated quarterly revenue of $233.5 million in the third quarter of 2026, an increase of 7.5%, when compared to the prior-year quarter.</w:t>
      </w:r>
    </w:p>
    <w:p>
      <w:pPr>
        <w:spacing w:after="0" w:line="150" w:lineRule="exact"/>
        <w:rPr>
          <w:sz w:val="20"/>
          <w:szCs w:val="20"/>
          <w:color w:val="auto"/>
        </w:rPr>
      </w:pPr>
    </w:p>
    <w:p>
      <w:pPr>
        <w:jc w:val="both"/>
        <w:ind w:left="180" w:right="199"/>
        <w:spacing w:after="0" w:line="220" w:lineRule="auto"/>
        <w:rPr>
          <w:sz w:val="20"/>
          <w:szCs w:val="20"/>
          <w:color w:val="auto"/>
        </w:rPr>
      </w:pPr>
      <w:r>
        <w:rPr>
          <w:rFonts w:ascii="Times New Roman" w:cs="Times New Roman" w:eastAsia="Times New Roman" w:hAnsi="Times New Roman"/>
          <w:sz w:val="22"/>
          <w:szCs w:val="22"/>
          <w:color w:val="auto"/>
        </w:rPr>
        <w:t>Roto-Rooter branch commercial revenue in the quarter totaled $59.9 million, an increase of 9.0% from the prior-year period. This aggregate commercial revenue change consisted of plumbing increasing 10.6%, drain cleaning increasing 6.8%, excavation increasing 5.5% and water restoration increasing 30.7%.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109855</wp:posOffset>
            </wp:positionV>
            <wp:extent cx="5528945" cy="508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531" w:right="1440" w:bottom="1440" w:gutter="0" w:footer="0" w:header="0"/>
        </w:sectPr>
      </w:pPr>
    </w:p>
    <w:bookmarkStart w:id="5" w:name="page6"/>
    <w:bookmarkEnd w:id="5"/>
    <w:p>
      <w:pPr>
        <w:jc w:val="both"/>
        <w:ind w:left="180" w:right="199"/>
        <w:spacing w:after="0" w:line="220" w:lineRule="auto"/>
        <w:rPr>
          <w:sz w:val="20"/>
          <w:szCs w:val="20"/>
          <w:color w:val="auto"/>
        </w:rPr>
      </w:pPr>
      <w:r>
        <w:rPr>
          <w:rFonts w:ascii="Times New Roman" w:cs="Times New Roman" w:eastAsia="Times New Roman" w:hAnsi="Times New Roman"/>
          <w:sz w:val="22"/>
          <w:szCs w:val="22"/>
          <w:color w:val="auto"/>
        </w:rPr>
        <w:t>Roto-Rooter branch residential revenue in the quarter totaled $158.8 million, an increase of 5.2% over the prior-year period. This aggregate residential revenue change consisted of excavation increasing 7.8%, plumbing increasing 5.9%, water restoration increasing 6.2% and drain cleaning increasing 4.5%.</w:t>
      </w:r>
    </w:p>
    <w:p>
      <w:pPr>
        <w:spacing w:after="0" w:line="152" w:lineRule="exact"/>
        <w:rPr>
          <w:sz w:val="20"/>
          <w:szCs w:val="20"/>
          <w:color w:val="auto"/>
        </w:rPr>
      </w:pPr>
    </w:p>
    <w:p>
      <w:pPr>
        <w:jc w:val="both"/>
        <w:ind w:left="180" w:right="199"/>
        <w:spacing w:after="0" w:line="236" w:lineRule="auto"/>
        <w:rPr>
          <w:sz w:val="20"/>
          <w:szCs w:val="20"/>
          <w:color w:val="auto"/>
        </w:rPr>
      </w:pPr>
      <w:r>
        <w:rPr>
          <w:rFonts w:ascii="Times New Roman" w:cs="Times New Roman" w:eastAsia="Times New Roman" w:hAnsi="Times New Roman"/>
          <w:sz w:val="22"/>
          <w:szCs w:val="22"/>
          <w:color w:val="auto"/>
        </w:rPr>
        <w:t>In the third quarter of 2026, revenue from independent contractors was $16.9 million which is flat compared to the same period of 2025.</w:t>
      </w:r>
    </w:p>
    <w:p>
      <w:pPr>
        <w:spacing w:after="0" w:line="150" w:lineRule="exact"/>
        <w:rPr>
          <w:sz w:val="20"/>
          <w:szCs w:val="20"/>
          <w:color w:val="auto"/>
        </w:rPr>
      </w:pPr>
    </w:p>
    <w:p>
      <w:pPr>
        <w:jc w:val="both"/>
        <w:ind w:left="180" w:right="199"/>
        <w:spacing w:after="0" w:line="225" w:lineRule="auto"/>
        <w:rPr>
          <w:sz w:val="20"/>
          <w:szCs w:val="20"/>
          <w:color w:val="auto"/>
        </w:rPr>
      </w:pPr>
      <w:r>
        <w:rPr>
          <w:rFonts w:ascii="Times New Roman" w:cs="Times New Roman" w:eastAsia="Times New Roman" w:hAnsi="Times New Roman"/>
          <w:sz w:val="22"/>
          <w:szCs w:val="22"/>
          <w:color w:val="auto"/>
        </w:rPr>
        <w:t>Roto-Rooter’s third quarter 2026 gross margin was 50.3%. This compares to the prior-year quarter’s gross margin of 50.7%. Roto-Rooter’s selling, general and administrative expenses were $71.0 million in the quarter, which is an increase of 17.1% compared to the third quarter of 2025.</w:t>
      </w:r>
    </w:p>
    <w:p>
      <w:pPr>
        <w:spacing w:after="0" w:line="153" w:lineRule="exact"/>
        <w:rPr>
          <w:sz w:val="20"/>
          <w:szCs w:val="20"/>
          <w:color w:val="auto"/>
        </w:rPr>
      </w:pPr>
    </w:p>
    <w:p>
      <w:pPr>
        <w:jc w:val="both"/>
        <w:ind w:left="180" w:right="199"/>
        <w:spacing w:after="0" w:line="225" w:lineRule="auto"/>
        <w:rPr>
          <w:sz w:val="20"/>
          <w:szCs w:val="20"/>
          <w:color w:val="auto"/>
        </w:rPr>
      </w:pPr>
      <w:r>
        <w:rPr>
          <w:rFonts w:ascii="Times New Roman" w:cs="Times New Roman" w:eastAsia="Times New Roman" w:hAnsi="Times New Roman"/>
          <w:sz w:val="22"/>
          <w:szCs w:val="22"/>
          <w:color w:val="auto"/>
        </w:rPr>
        <w:t>Adjusted EBITDA in the third quarter of 2026 totaled $48.2 million, a decline of 2.5% when compared to the third quarter of 2025. Adjusted EBITDA margin in the quarter was 20.6% which represents a 213-basis point decline from the third quarter of 2025.</w:t>
      </w:r>
    </w:p>
    <w:p>
      <w:pPr>
        <w:spacing w:after="0" w:line="152" w:lineRule="exact"/>
        <w:rPr>
          <w:sz w:val="20"/>
          <w:szCs w:val="20"/>
          <w:color w:val="auto"/>
        </w:rPr>
      </w:pPr>
    </w:p>
    <w:p>
      <w:pPr>
        <w:jc w:val="both"/>
        <w:ind w:left="180" w:right="199"/>
        <w:spacing w:after="0" w:line="215" w:lineRule="auto"/>
        <w:rPr>
          <w:sz w:val="20"/>
          <w:szCs w:val="20"/>
          <w:color w:val="auto"/>
        </w:rPr>
      </w:pPr>
      <w:r>
        <w:rPr>
          <w:rFonts w:ascii="Times New Roman" w:cs="Times New Roman" w:eastAsia="Times New Roman" w:hAnsi="Times New Roman"/>
          <w:sz w:val="22"/>
          <w:szCs w:val="22"/>
          <w:color w:val="auto"/>
        </w:rPr>
        <w:t>During the third quarter of 2026, Roto-Rooter re-acquired multiple franchise territories in California for approximately $62.5 million. Collectively, these territories include a population of over 12 million people. Slightly over half of the revenue associated with acquired territories will become part of our owned and operated branch locations. Two new branches will be established in Sacramento and San Diego while other territories will be absorbed by existing branches. The remaining locations will become part of our independent contractor operating model.</w:t>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u w:val="single" w:color="auto"/>
          <w:color w:val="auto"/>
        </w:rPr>
        <w:t>Chemed Consolidated</w:t>
      </w:r>
    </w:p>
    <w:p>
      <w:pPr>
        <w:spacing w:after="0" w:line="179" w:lineRule="exact"/>
        <w:rPr>
          <w:sz w:val="20"/>
          <w:szCs w:val="20"/>
          <w:color w:val="auto"/>
        </w:rPr>
      </w:pPr>
    </w:p>
    <w:p>
      <w:pPr>
        <w:jc w:val="both"/>
        <w:ind w:left="180" w:right="199"/>
        <w:spacing w:after="0" w:line="236" w:lineRule="auto"/>
        <w:rPr>
          <w:sz w:val="20"/>
          <w:szCs w:val="20"/>
          <w:color w:val="auto"/>
        </w:rPr>
      </w:pPr>
      <w:r>
        <w:rPr>
          <w:rFonts w:ascii="Times New Roman" w:cs="Times New Roman" w:eastAsia="Times New Roman" w:hAnsi="Times New Roman"/>
          <w:sz w:val="22"/>
          <w:szCs w:val="22"/>
          <w:color w:val="auto"/>
        </w:rPr>
        <w:t>As of September 30, 2026, Chemed had total cash and cash equivalents of $48.4 million and $236.0 million in long-term debt.</w:t>
      </w:r>
    </w:p>
    <w:p>
      <w:pPr>
        <w:spacing w:after="0" w:line="150" w:lineRule="exact"/>
        <w:rPr>
          <w:sz w:val="20"/>
          <w:szCs w:val="20"/>
          <w:color w:val="auto"/>
        </w:rPr>
      </w:pPr>
    </w:p>
    <w:p>
      <w:pPr>
        <w:jc w:val="both"/>
        <w:ind w:left="180" w:right="199"/>
        <w:spacing w:after="0" w:line="215" w:lineRule="auto"/>
        <w:rPr>
          <w:sz w:val="20"/>
          <w:szCs w:val="20"/>
          <w:color w:val="auto"/>
        </w:rPr>
      </w:pPr>
      <w:r>
        <w:rPr>
          <w:rFonts w:ascii="Times New Roman" w:cs="Times New Roman" w:eastAsia="Times New Roman" w:hAnsi="Times New Roman"/>
          <w:sz w:val="22"/>
          <w:szCs w:val="22"/>
          <w:color w:val="auto"/>
        </w:rPr>
        <w:t>In April 2026, Chemed entered into a new five-year $450 million Amended and Restated Credit Agreement (Credit Agreement). This Credit Agreement consists of a $450 million revolving line of credit and a $250 million expansion feature. The interest rate on this Credit Agreement has a floating rate that is currently SOFR plus 100-basis points. There is approximately $166.7 million undrawn borrowing capacity under the Credit Agreement after excluding $47.3 million for Letters of Credit.</w:t>
      </w:r>
    </w:p>
    <w:p>
      <w:pPr>
        <w:spacing w:after="0" w:line="152" w:lineRule="exact"/>
        <w:rPr>
          <w:sz w:val="20"/>
          <w:szCs w:val="20"/>
          <w:color w:val="auto"/>
        </w:rPr>
      </w:pPr>
    </w:p>
    <w:p>
      <w:pPr>
        <w:jc w:val="both"/>
        <w:ind w:left="180" w:right="199"/>
        <w:spacing w:after="0" w:line="217" w:lineRule="auto"/>
        <w:rPr>
          <w:sz w:val="20"/>
          <w:szCs w:val="20"/>
          <w:color w:val="auto"/>
        </w:rPr>
      </w:pPr>
      <w:r>
        <w:rPr>
          <w:rFonts w:ascii="Times New Roman" w:cs="Times New Roman" w:eastAsia="Times New Roman" w:hAnsi="Times New Roman"/>
          <w:sz w:val="22"/>
          <w:szCs w:val="22"/>
          <w:color w:val="auto"/>
        </w:rPr>
        <w:t>During the quarter, the Company repurchased 125,000 shares of Chemed stock for $66.0 million which equates to a cost per share of $528.24. Over the trailing 12-months, the Company has repurchased 1,235,000 shares of Chemed stock at an average price of $427.62 per share. As of September 30, 2026, there was approximately $73.7 million of remaining share repurchase authorization under the Company’s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658495</wp:posOffset>
            </wp:positionV>
            <wp:extent cx="5528945" cy="508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531" w:right="1440"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22"/>
          <w:szCs w:val="22"/>
          <w:u w:val="single" w:color="auto"/>
          <w:color w:val="auto"/>
        </w:rPr>
        <w:t>Guidance Update</w:t>
      </w:r>
    </w:p>
    <w:p>
      <w:pPr>
        <w:spacing w:after="0" w:line="179" w:lineRule="exact"/>
        <w:rPr>
          <w:sz w:val="20"/>
          <w:szCs w:val="20"/>
          <w:color w:val="auto"/>
        </w:rPr>
      </w:pPr>
    </w:p>
    <w:p>
      <w:pPr>
        <w:jc w:val="both"/>
        <w:ind w:left="180" w:right="199"/>
        <w:spacing w:after="0" w:line="220" w:lineRule="auto"/>
        <w:rPr>
          <w:sz w:val="20"/>
          <w:szCs w:val="20"/>
          <w:color w:val="auto"/>
        </w:rPr>
      </w:pPr>
      <w:r>
        <w:rPr>
          <w:rFonts w:ascii="Times New Roman" w:cs="Times New Roman" w:eastAsia="Times New Roman" w:hAnsi="Times New Roman"/>
          <w:sz w:val="22"/>
          <w:szCs w:val="22"/>
          <w:color w:val="auto"/>
        </w:rPr>
        <w:t>Based on the Company’s financial results through September 30, 2026, we estimate that we will be at or slightly above the high-end of our full-year 2026 adjusted EPS guidance issued in conjunction with our press release, dated July 28, 2026, discussing our second quarter 2026 earnings. Further operational detail will be provided during the investor conference call.</w:t>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u w:val="single" w:color="auto"/>
          <w:color w:val="auto"/>
        </w:rPr>
        <w:t>Conference Call</w:t>
      </w:r>
    </w:p>
    <w:p>
      <w:pPr>
        <w:spacing w:after="0" w:line="179" w:lineRule="exact"/>
        <w:rPr>
          <w:sz w:val="20"/>
          <w:szCs w:val="20"/>
          <w:color w:val="auto"/>
        </w:rPr>
      </w:pPr>
    </w:p>
    <w:p>
      <w:pPr>
        <w:jc w:val="both"/>
        <w:ind w:left="180" w:right="199"/>
        <w:spacing w:after="0" w:line="229" w:lineRule="auto"/>
        <w:rPr>
          <w:sz w:val="20"/>
          <w:szCs w:val="20"/>
          <w:color w:val="auto"/>
        </w:rPr>
      </w:pPr>
      <w:r>
        <w:rPr>
          <w:rFonts w:ascii="Times New Roman" w:cs="Times New Roman" w:eastAsia="Times New Roman" w:hAnsi="Times New Roman"/>
          <w:sz w:val="22"/>
          <w:szCs w:val="22"/>
          <w:color w:val="auto"/>
        </w:rPr>
        <w:t>As previously disclosed, Chemed will host a conference call and webcast at 10 a.m. ET, on Wednesday October 28, 2026, to discuss the company's quarterly results and to provide an update</w:t>
      </w:r>
    </w:p>
    <w:p>
      <w:pPr>
        <w:jc w:val="both"/>
        <w:ind w:left="180" w:right="199"/>
        <w:spacing w:after="0" w:line="211" w:lineRule="auto"/>
        <w:rPr>
          <w:sz w:val="20"/>
          <w:szCs w:val="20"/>
          <w:color w:val="auto"/>
        </w:rPr>
      </w:pPr>
      <w:r>
        <w:rPr>
          <w:rFonts w:ascii="Times New Roman" w:cs="Times New Roman" w:eastAsia="Times New Roman" w:hAnsi="Times New Roman"/>
          <w:sz w:val="22"/>
          <w:szCs w:val="22"/>
          <w:color w:val="auto"/>
        </w:rPr>
        <w:t xml:space="preserve">on its business. Participants may access a live webcast of the conference call through the investor relations section of Chemed’s website, </w:t>
      </w:r>
      <w:r>
        <w:rPr>
          <w:rFonts w:ascii="Times New Roman" w:cs="Times New Roman" w:eastAsia="Times New Roman" w:hAnsi="Times New Roman"/>
          <w:sz w:val="22"/>
          <w:szCs w:val="22"/>
          <w:u w:val="single" w:color="auto"/>
          <w:color w:val="0000FF"/>
        </w:rPr>
        <w:t>Investor Relations Home | Chemed Corporation</w:t>
      </w:r>
      <w:r>
        <w:rPr>
          <w:rFonts w:ascii="Times New Roman" w:cs="Times New Roman" w:eastAsia="Times New Roman" w:hAnsi="Times New Roman"/>
          <w:sz w:val="22"/>
          <w:szCs w:val="22"/>
          <w:color w:val="auto"/>
        </w:rPr>
        <w:t xml:space="preserve"> or the</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 xml:space="preserve">hosting website </w:t>
      </w:r>
      <w:r>
        <w:rPr>
          <w:rFonts w:ascii="Times New Roman" w:cs="Times New Roman" w:eastAsia="Times New Roman" w:hAnsi="Times New Roman"/>
          <w:sz w:val="22"/>
          <w:szCs w:val="22"/>
          <w:u w:val="single" w:color="auto"/>
          <w:color w:val="0000FF"/>
        </w:rPr>
        <w:t>https://edge.media-server.com/mmc/p/v5gcs68f</w:t>
      </w:r>
      <w:r>
        <w:rPr>
          <w:rFonts w:ascii="Times New Roman" w:cs="Times New Roman" w:eastAsia="Times New Roman" w:hAnsi="Times New Roman"/>
          <w:sz w:val="22"/>
          <w:szCs w:val="22"/>
          <w:color w:val="212121"/>
        </w:rPr>
        <w:t>.</w:t>
      </w:r>
    </w:p>
    <w:p>
      <w:pPr>
        <w:spacing w:after="0" w:line="16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Participants may also register via teleconference at:</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u w:val="single" w:color="auto"/>
          <w:color w:val="0000FF"/>
        </w:rPr>
        <w:t>https://register-conf.media-server.com/register/BId8ccb8a390cc4b6fbb29ab2b99a55028</w:t>
      </w:r>
      <w:r>
        <w:rPr>
          <w:rFonts w:ascii="Times New Roman" w:cs="Times New Roman" w:eastAsia="Times New Roman" w:hAnsi="Times New Roman"/>
          <w:sz w:val="22"/>
          <w:szCs w:val="22"/>
          <w:color w:val="000000"/>
        </w:rPr>
        <w:t>.</w:t>
      </w:r>
    </w:p>
    <w:p>
      <w:pPr>
        <w:spacing w:after="0" w:line="169" w:lineRule="exact"/>
        <w:rPr>
          <w:sz w:val="20"/>
          <w:szCs w:val="20"/>
          <w:color w:val="auto"/>
        </w:rPr>
      </w:pPr>
    </w:p>
    <w:p>
      <w:pPr>
        <w:jc w:val="both"/>
        <w:ind w:left="180" w:right="199"/>
        <w:spacing w:after="0" w:line="225" w:lineRule="auto"/>
        <w:rPr>
          <w:sz w:val="20"/>
          <w:szCs w:val="20"/>
          <w:color w:val="auto"/>
        </w:rPr>
      </w:pPr>
      <w:r>
        <w:rPr>
          <w:rFonts w:ascii="Times New Roman" w:cs="Times New Roman" w:eastAsia="Times New Roman" w:hAnsi="Times New Roman"/>
          <w:sz w:val="22"/>
          <w:szCs w:val="22"/>
          <w:color w:val="auto"/>
        </w:rPr>
        <w:t>Once registration is completed, participants will be provided with a dial-in number containing a personalized conference code to access the call. All participants are instructed to dial-in 15 minutes prior to the start time.</w:t>
      </w:r>
    </w:p>
    <w:p>
      <w:pPr>
        <w:spacing w:after="0" w:line="125" w:lineRule="exact"/>
        <w:rPr>
          <w:sz w:val="20"/>
          <w:szCs w:val="20"/>
          <w:color w:val="auto"/>
        </w:rPr>
      </w:pPr>
    </w:p>
    <w:p>
      <w:pPr>
        <w:jc w:val="both"/>
        <w:ind w:left="180" w:right="199" w:firstLine="4"/>
        <w:spacing w:after="0" w:line="225" w:lineRule="auto"/>
        <w:tabs>
          <w:tab w:leader="none" w:pos="444"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taped replay of the conference call will be available beginning approximately two hours after the call's conclusion. You may access the replay via webcast through the investor relations section of Chemed’s website.</w:t>
      </w:r>
    </w:p>
    <w:p>
      <w:pPr>
        <w:spacing w:after="0" w:line="153" w:lineRule="exact"/>
        <w:rPr>
          <w:sz w:val="20"/>
          <w:szCs w:val="20"/>
          <w:color w:val="auto"/>
        </w:rPr>
      </w:pPr>
    </w:p>
    <w:p>
      <w:pPr>
        <w:jc w:val="both"/>
        <w:ind w:left="180" w:right="199"/>
        <w:spacing w:after="0" w:line="220" w:lineRule="auto"/>
        <w:rPr>
          <w:sz w:val="20"/>
          <w:szCs w:val="20"/>
          <w:color w:val="auto"/>
        </w:rPr>
      </w:pPr>
      <w:r>
        <w:rPr>
          <w:rFonts w:ascii="Times New Roman" w:cs="Times New Roman" w:eastAsia="Times New Roman" w:hAnsi="Times New Roman"/>
          <w:sz w:val="22"/>
          <w:szCs w:val="22"/>
          <w:color w:val="auto"/>
        </w:rPr>
        <w:t>Chemed operates in the healthcare field through its VITAS Healthcare Corporation subsidiary. VITAS provides daily hospice services to patients with severe, life-limiting illnesses. This type of care is focused on making the terminally ill patient's final days as comfortable and pain-free as possible.</w:t>
      </w:r>
    </w:p>
    <w:p>
      <w:pPr>
        <w:spacing w:after="0" w:line="152" w:lineRule="exact"/>
        <w:rPr>
          <w:sz w:val="20"/>
          <w:szCs w:val="20"/>
          <w:color w:val="auto"/>
        </w:rPr>
      </w:pPr>
    </w:p>
    <w:p>
      <w:pPr>
        <w:jc w:val="both"/>
        <w:ind w:left="180" w:right="199"/>
        <w:spacing w:after="0" w:line="217" w:lineRule="auto"/>
        <w:rPr>
          <w:sz w:val="20"/>
          <w:szCs w:val="20"/>
          <w:color w:val="auto"/>
        </w:rPr>
      </w:pPr>
      <w:r>
        <w:rPr>
          <w:rFonts w:ascii="Times New Roman" w:cs="Times New Roman" w:eastAsia="Times New Roman" w:hAnsi="Times New Roman"/>
          <w:sz w:val="22"/>
          <w:szCs w:val="22"/>
          <w:color w:val="auto"/>
        </w:rPr>
        <w:t>Chemed operates in the residential and commercial plumbing and drain cleaning industry under the brand name Roto-Rooter. Roto-Rooter provides plumbing, drain cleaning, and water cleanup services through company-owned branches, independent contractors and franchisees in the United States and Canada. Roto-Rooter also has licensed master franchisees in the republics of Indonesia and Singapore, and the Philippines.</w:t>
      </w:r>
    </w:p>
    <w:p>
      <w:pPr>
        <w:spacing w:after="0" w:line="368" w:lineRule="exact"/>
        <w:rPr>
          <w:sz w:val="20"/>
          <w:szCs w:val="20"/>
          <w:color w:val="auto"/>
        </w:rPr>
      </w:pPr>
    </w:p>
    <w:p>
      <w:pPr>
        <w:jc w:val="both"/>
        <w:ind w:left="180" w:right="99"/>
        <w:spacing w:after="0" w:line="218" w:lineRule="auto"/>
        <w:rPr>
          <w:sz w:val="20"/>
          <w:szCs w:val="20"/>
          <w:color w:val="auto"/>
        </w:rPr>
      </w:pPr>
      <w:r>
        <w:rPr>
          <w:rFonts w:ascii="Times New Roman" w:cs="Times New Roman" w:eastAsia="Times New Roman" w:hAnsi="Times New Roman"/>
          <w:sz w:val="21"/>
          <w:szCs w:val="21"/>
          <w:color w:val="auto"/>
        </w:rPr>
        <w:t>This press release contains information about Chemed’s EBITDA, Adjusted EBITDA, and Adjusted Diluted EPS, which are not measures derived in accordance with GAAP and which exclude components that are important to understanding Chemed’s financial performance. In reporting its operating results, Chemed provides EBITDA, Adjusted EBITDA and Adjusted Diluted EPS measures to help investors and others evaluate the Company’s operating results, compare its operating performance with that of similar companies that have different capital structures and evaluate its ability to meet its future debt service, capital expenditures and working capital requirements. Chemed’s management similarly uses EBITDA, Adjusted EBITDA, and Adjusted Diluted EPS to assist it in evaluating the performance of the Company across fiscal periods and in assessing how its performance compares to its peer companies. These measures also help Chemed’s management to estimate the resources required to meet Chemed’s future financial obligations and expenditures. Chemed’s EBITDA, Adjusted EBITDA and Adjusted Diluted EPS should not be considered in isolation or as a substitute for comparable measures calculated and presented in accordance with GAAP. We calculated Adjusted EBITDA margin by dividing Adjusted EBITDA by service revenue and sales. A reconciliation of Chemed’s Net Income to its EBITDA, Adjusted EBITDA and Adjusted Diluted EPS is presented in the tables following the text of this press release.</w:t>
      </w:r>
    </w:p>
    <w:p>
      <w:pPr>
        <w:spacing w:after="0" w:line="162" w:lineRule="exact"/>
        <w:rPr>
          <w:sz w:val="20"/>
          <w:szCs w:val="20"/>
          <w:color w:val="auto"/>
        </w:rPr>
      </w:pPr>
    </w:p>
    <w:p>
      <w:pPr>
        <w:jc w:val="both"/>
        <w:ind w:left="180" w:right="119"/>
        <w:spacing w:after="0" w:line="216" w:lineRule="auto"/>
        <w:rPr>
          <w:sz w:val="20"/>
          <w:szCs w:val="20"/>
          <w:color w:val="auto"/>
        </w:rPr>
      </w:pPr>
      <w:r>
        <w:rPr>
          <w:rFonts w:ascii="Times New Roman" w:cs="Times New Roman" w:eastAsia="Times New Roman" w:hAnsi="Times New Roman"/>
          <w:sz w:val="22"/>
          <w:szCs w:val="22"/>
          <w:color w:val="auto"/>
        </w:rPr>
        <w:t>SAFE HARBOR STATEMENT UNDER THE PRIVATE SECURITIES LITIGATION REFORM ACT OF 1995 REGARDING FORWARD-LOOKING INFORMATION</w:t>
      </w:r>
    </w:p>
    <w:p>
      <w:pPr>
        <w:spacing w:after="0" w:line="1" w:lineRule="exact"/>
        <w:rPr>
          <w:sz w:val="20"/>
          <w:szCs w:val="20"/>
          <w:color w:val="auto"/>
        </w:rPr>
      </w:pPr>
    </w:p>
    <w:p>
      <w:pPr>
        <w:jc w:val="both"/>
        <w:ind w:left="180" w:right="119"/>
        <w:spacing w:after="0" w:line="208" w:lineRule="auto"/>
        <w:rPr>
          <w:sz w:val="20"/>
          <w:szCs w:val="20"/>
          <w:color w:val="auto"/>
        </w:rPr>
      </w:pPr>
      <w:r>
        <w:rPr>
          <w:rFonts w:ascii="Times New Roman" w:cs="Times New Roman" w:eastAsia="Times New Roman" w:hAnsi="Times New Roman"/>
          <w:sz w:val="22"/>
          <w:szCs w:val="22"/>
          <w:i w:val="1"/>
          <w:iCs w:val="1"/>
          <w:color w:val="auto"/>
        </w:rPr>
        <w:t>Statements in this press release contain forward-looking statements within the meaning of the safe harbor provisions of the U.S. Private Securities Litigation Reform Act of 1995. Forward-looking statements can be identified by words such as “anticipate,” “intend,” “plan,” “goal,” “seek,” “believe,” “project,” “estimate,” “expect,” “strategy,” “future,” “likely,” “may,” “should,” “will” and similar references to future periods and are based upon assumptions subject to certain known and unknown risks, uncertainties, contingencies and other factors, including, but not limited to, the impact of laws and regulations on Chemed’s operations, including Medicare Cap and Medicare reimbursement rates, Chemed’s estimates of the effect of Medicare Cap on VITAS’ revenues and future prospects, Chemed’s expectations regarding VITAS’ patient mix and Chemed’s expectations regarding demand for Roto-Rooter’s services.</w:t>
      </w:r>
    </w:p>
    <w:p>
      <w:pPr>
        <w:spacing w:after="0" w:line="156" w:lineRule="exact"/>
        <w:rPr>
          <w:sz w:val="20"/>
          <w:szCs w:val="20"/>
          <w:color w:val="auto"/>
        </w:rPr>
      </w:pPr>
    </w:p>
    <w:p>
      <w:pPr>
        <w:jc w:val="both"/>
        <w:ind w:left="180" w:right="119"/>
        <w:spacing w:after="0" w:line="226" w:lineRule="auto"/>
        <w:rPr>
          <w:sz w:val="20"/>
          <w:szCs w:val="20"/>
          <w:color w:val="auto"/>
        </w:rPr>
      </w:pPr>
      <w:r>
        <w:rPr>
          <w:rFonts w:ascii="Times New Roman" w:cs="Times New Roman" w:eastAsia="Times New Roman" w:hAnsi="Times New Roman"/>
          <w:sz w:val="21"/>
          <w:szCs w:val="21"/>
          <w:i w:val="1"/>
          <w:iCs w:val="1"/>
          <w:color w:val="auto"/>
        </w:rPr>
        <w:t>Because forward-looking statements relate to the future, they are subject to inherent uncertainties, risks and changes in circumstances that are difficult to predict and many of which are outside of Chemed’s control. Chemed’s actual results and financial condition may differ materially from those indicated in the forward-looking statements included in this press release, including as a result of the risks described above and those described in Chemed’s Annual Report on Form 10-K for the year ended December 31, 2025 and in its Quarterly Reports filed in 2026. Any forward-looking</w:t>
      </w:r>
    </w:p>
    <w:p>
      <w:pPr>
        <w:sectPr>
          <w:pgSz w:w="11900" w:h="16838" w:orient="portrait"/>
          <w:cols w:equalWidth="0" w:num="1">
            <w:col w:w="9019"/>
          </w:cols>
          <w:pgMar w:left="1440" w:top="531" w:right="1440" w:bottom="0" w:gutter="0" w:footer="0" w:header="0"/>
        </w:sectPr>
      </w:pPr>
    </w:p>
    <w:bookmarkStart w:id="7" w:name="page8"/>
    <w:bookmarkEnd w:id="7"/>
    <w:p>
      <w:pPr>
        <w:jc w:val="both"/>
        <w:ind w:left="180" w:right="119"/>
        <w:spacing w:after="0" w:line="211" w:lineRule="auto"/>
        <w:rPr>
          <w:sz w:val="20"/>
          <w:szCs w:val="20"/>
          <w:color w:val="auto"/>
        </w:rPr>
      </w:pPr>
      <w:r>
        <w:rPr>
          <w:rFonts w:ascii="Times New Roman" w:cs="Times New Roman" w:eastAsia="Times New Roman" w:hAnsi="Times New Roman"/>
          <w:sz w:val="22"/>
          <w:szCs w:val="22"/>
          <w:i w:val="1"/>
          <w:iCs w:val="1"/>
          <w:color w:val="auto"/>
        </w:rPr>
        <w:drawing>
          <wp:anchor simplePos="0" relativeHeight="251657728" behindDoc="1" locked="0" layoutInCell="0" allowOverlap="1">
            <wp:simplePos x="0" y="0"/>
            <wp:positionH relativeFrom="page">
              <wp:posOffset>607060</wp:posOffset>
            </wp:positionH>
            <wp:positionV relativeFrom="page">
              <wp:posOffset>1584960</wp:posOffset>
            </wp:positionV>
            <wp:extent cx="6000115" cy="508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000115" cy="50800"/>
                    </a:xfrm>
                    <a:prstGeom prst="rect">
                      <a:avLst/>
                    </a:prstGeom>
                    <a:noFill/>
                  </pic:spPr>
                </pic:pic>
              </a:graphicData>
            </a:graphic>
          </wp:anchor>
        </w:drawing>
        <w:t>statement made by Chemed in this press release is based only on information currently available to Chemed and speaks only as of the date on which it is made. Chemed undertakes no obligation to publicly update any forward-looking statement, whether written or oral, that may be made from time to time, whether as a result of new information, future developments or otherwise.</w:t>
      </w:r>
    </w:p>
    <w:p>
      <w:pPr>
        <w:sectPr>
          <w:pgSz w:w="11900" w:h="16838" w:orient="portrait"/>
          <w:cols w:equalWidth="0" w:num="1">
            <w:col w:w="9019"/>
          </w:cols>
          <w:pgMar w:left="1440" w:top="95" w:right="1440" w:bottom="1440" w:gutter="0" w:footer="0" w:header="0"/>
        </w:sectPr>
      </w:pPr>
    </w:p>
    <w:bookmarkStart w:id="8" w:name="page9"/>
    <w:bookmarkEnd w:id="8"/>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CHEMED CORPORATION AND SUBSIDIARY COMPANIES</w:t>
      </w:r>
    </w:p>
    <w:p>
      <w:pPr>
        <w:spacing w:after="0" w:line="3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CONSOLIDATED STATEMENTS OF INCOME</w:t>
      </w:r>
    </w:p>
    <w:p>
      <w:pPr>
        <w:spacing w:after="0" w:line="3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6"/>
          <w:szCs w:val="16"/>
          <w:color w:val="auto"/>
        </w:rPr>
        <w:t>(in thousands, except per share data)(unaudited)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720" w:type="dxa"/>
            <w:vAlign w:val="bottom"/>
            <w:gridSpan w:val="5"/>
          </w:tcPr>
          <w:p>
            <w:pPr>
              <w:jc w:val="right"/>
              <w:ind w:right="320"/>
              <w:spacing w:after="0"/>
              <w:rPr>
                <w:sz w:val="20"/>
                <w:szCs w:val="20"/>
                <w:color w:val="auto"/>
              </w:rPr>
            </w:pPr>
            <w:r>
              <w:rPr>
                <w:rFonts w:ascii="Times New Roman" w:cs="Times New Roman" w:eastAsia="Times New Roman" w:hAnsi="Times New Roman"/>
                <w:sz w:val="16"/>
                <w:szCs w:val="16"/>
                <w:color w:val="auto"/>
              </w:rPr>
              <w:t>Three Months Ended September 30,</w:t>
            </w:r>
          </w:p>
        </w:tc>
        <w:tc>
          <w:tcPr>
            <w:tcW w:w="160" w:type="dxa"/>
            <w:vAlign w:val="bottom"/>
          </w:tcPr>
          <w:p>
            <w:pPr>
              <w:spacing w:after="0"/>
              <w:rPr>
                <w:sz w:val="16"/>
                <w:szCs w:val="16"/>
                <w:color w:val="auto"/>
              </w:rPr>
            </w:pPr>
          </w:p>
        </w:tc>
        <w:tc>
          <w:tcPr>
            <w:tcW w:w="2560" w:type="dxa"/>
            <w:vAlign w:val="bottom"/>
            <w:gridSpan w:val="4"/>
          </w:tcPr>
          <w:p>
            <w:pPr>
              <w:jc w:val="right"/>
              <w:ind w:right="139"/>
              <w:spacing w:after="0"/>
              <w:rPr>
                <w:sz w:val="20"/>
                <w:szCs w:val="20"/>
                <w:color w:val="auto"/>
              </w:rPr>
            </w:pPr>
            <w:r>
              <w:rPr>
                <w:rFonts w:ascii="Times New Roman" w:cs="Times New Roman" w:eastAsia="Times New Roman" w:hAnsi="Times New Roman"/>
                <w:sz w:val="16"/>
                <w:szCs w:val="16"/>
                <w:color w:val="auto"/>
              </w:rPr>
              <w:t>Nine Months Ended September 30,</w:t>
            </w:r>
          </w:p>
        </w:tc>
        <w:tc>
          <w:tcPr>
            <w:tcW w:w="0" w:type="dxa"/>
            <w:vAlign w:val="bottom"/>
          </w:tcPr>
          <w:p>
            <w:pPr>
              <w:spacing w:after="0"/>
              <w:rPr>
                <w:sz w:val="1"/>
                <w:szCs w:val="1"/>
                <w:color w:val="auto"/>
              </w:rPr>
            </w:pPr>
          </w:p>
        </w:tc>
      </w:tr>
      <w:tr>
        <w:trPr>
          <w:trHeight w:val="196"/>
        </w:trPr>
        <w:tc>
          <w:tcPr>
            <w:tcW w:w="378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rPr>
              <w:t>2025</w:t>
            </w:r>
          </w:p>
        </w:tc>
        <w:tc>
          <w:tcPr>
            <w:tcW w:w="14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rPr>
              <w:t>2025</w:t>
            </w:r>
          </w:p>
        </w:tc>
        <w:tc>
          <w:tcPr>
            <w:tcW w:w="0" w:type="dxa"/>
            <w:vAlign w:val="bottom"/>
          </w:tcPr>
          <w:p>
            <w:pPr>
              <w:spacing w:after="0"/>
              <w:rPr>
                <w:sz w:val="1"/>
                <w:szCs w:val="1"/>
                <w:color w:val="auto"/>
              </w:rPr>
            </w:pPr>
          </w:p>
        </w:tc>
      </w:tr>
      <w:tr>
        <w:trPr>
          <w:trHeight w:val="196"/>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Service revenues and sales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690,940</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624,900</w:t>
            </w:r>
          </w:p>
        </w:tc>
        <w:tc>
          <w:tcPr>
            <w:tcW w:w="14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2,021,704</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1,890,641</w:t>
            </w:r>
          </w:p>
        </w:tc>
        <w:tc>
          <w:tcPr>
            <w:tcW w:w="0" w:type="dxa"/>
            <w:vAlign w:val="bottom"/>
          </w:tcPr>
          <w:p>
            <w:pPr>
              <w:spacing w:after="0"/>
              <w:rPr>
                <w:sz w:val="1"/>
                <w:szCs w:val="1"/>
                <w:color w:val="auto"/>
              </w:rPr>
            </w:pPr>
          </w:p>
        </w:tc>
      </w:tr>
      <w:tr>
        <w:trPr>
          <w:trHeight w:val="194"/>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Cost of services provided and goods sold</w:t>
            </w: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457,978</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425,143</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1,351,507</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1,289,778</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Selling, general and administrative expenses (aa)</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111,469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105,775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340,993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311,685</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Depreciation</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14,427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13,664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42,997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40,798</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Amortization</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2,974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8,263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7,713</w:t>
            </w:r>
          </w:p>
        </w:tc>
        <w:tc>
          <w:tcPr>
            <w:tcW w:w="0" w:type="dxa"/>
            <w:vAlign w:val="bottom"/>
          </w:tcPr>
          <w:p>
            <w:pPr>
              <w:spacing w:after="0"/>
              <w:rPr>
                <w:sz w:val="1"/>
                <w:szCs w:val="1"/>
                <w:color w:val="auto"/>
              </w:rPr>
            </w:pPr>
          </w:p>
        </w:tc>
      </w:tr>
      <w:tr>
        <w:trPr>
          <w:trHeight w:val="218"/>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Other operating expense</w:t>
            </w: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7,670</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2,998</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7,740</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3,075</w:t>
            </w:r>
          </w:p>
        </w:tc>
        <w:tc>
          <w:tcPr>
            <w:tcW w:w="0" w:type="dxa"/>
            <w:vAlign w:val="bottom"/>
          </w:tcPr>
          <w:p>
            <w:pPr>
              <w:spacing w:after="0"/>
              <w:rPr>
                <w:sz w:val="1"/>
                <w:szCs w:val="1"/>
                <w:color w:val="auto"/>
              </w:rPr>
            </w:pPr>
          </w:p>
        </w:tc>
      </w:tr>
      <w:tr>
        <w:trPr>
          <w:trHeight w:val="196"/>
        </w:trPr>
        <w:tc>
          <w:tcPr>
            <w:tcW w:w="37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costs and expenses</w:t>
            </w: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594,518</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550,150</w:t>
            </w:r>
          </w:p>
        </w:tc>
        <w:tc>
          <w:tcPr>
            <w:tcW w:w="1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1,751,500</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1,653,049</w:t>
            </w:r>
          </w:p>
        </w:tc>
        <w:tc>
          <w:tcPr>
            <w:tcW w:w="0" w:type="dxa"/>
            <w:vAlign w:val="bottom"/>
          </w:tcPr>
          <w:p>
            <w:pPr>
              <w:spacing w:after="0"/>
              <w:rPr>
                <w:sz w:val="1"/>
                <w:szCs w:val="1"/>
                <w:color w:val="auto"/>
              </w:rPr>
            </w:pPr>
          </w:p>
        </w:tc>
      </w:tr>
      <w:tr>
        <w:trPr>
          <w:trHeight w:val="194"/>
        </w:trPr>
        <w:tc>
          <w:tcPr>
            <w:tcW w:w="37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Income from operations</w:t>
            </w: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96,422</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74,750</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270,204</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237,592</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14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(2,097)</w:t>
            </w:r>
          </w:p>
        </w:tc>
        <w:tc>
          <w:tcPr>
            <w:tcW w:w="3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(457)</w:t>
            </w:r>
          </w:p>
        </w:tc>
        <w:tc>
          <w:tcPr>
            <w:tcW w:w="16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(4,398)</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(1,229)</w:t>
            </w:r>
          </w:p>
        </w:tc>
        <w:tc>
          <w:tcPr>
            <w:tcW w:w="0" w:type="dxa"/>
            <w:vAlign w:val="bottom"/>
          </w:tcPr>
          <w:p>
            <w:pPr>
              <w:spacing w:after="0"/>
              <w:rPr>
                <w:sz w:val="1"/>
                <w:szCs w:val="1"/>
                <w:color w:val="auto"/>
              </w:rPr>
            </w:pPr>
          </w:p>
        </w:tc>
      </w:tr>
      <w:tr>
        <w:trPr>
          <w:trHeight w:val="218"/>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Other income--net (bb)</w:t>
            </w: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2,383</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9,251</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11,071</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13,970</w:t>
            </w:r>
          </w:p>
        </w:tc>
        <w:tc>
          <w:tcPr>
            <w:tcW w:w="0" w:type="dxa"/>
            <w:vAlign w:val="bottom"/>
          </w:tcPr>
          <w:p>
            <w:pPr>
              <w:spacing w:after="0"/>
              <w:rPr>
                <w:sz w:val="1"/>
                <w:szCs w:val="1"/>
                <w:color w:val="auto"/>
              </w:rPr>
            </w:pPr>
          </w:p>
        </w:tc>
      </w:tr>
      <w:tr>
        <w:trPr>
          <w:trHeight w:val="194"/>
        </w:trPr>
        <w:tc>
          <w:tcPr>
            <w:tcW w:w="37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96,708</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83,544</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276,877</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250,333</w:t>
            </w:r>
          </w:p>
        </w:tc>
        <w:tc>
          <w:tcPr>
            <w:tcW w:w="0" w:type="dxa"/>
            <w:vAlign w:val="bottom"/>
          </w:tcPr>
          <w:p>
            <w:pPr>
              <w:spacing w:after="0"/>
              <w:rPr>
                <w:sz w:val="1"/>
                <w:szCs w:val="1"/>
                <w:color w:val="auto"/>
              </w:rPr>
            </w:pPr>
          </w:p>
        </w:tc>
      </w:tr>
      <w:tr>
        <w:trPr>
          <w:trHeight w:val="218"/>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Income taxes</w:t>
            </w:r>
          </w:p>
        </w:tc>
        <w:tc>
          <w:tcPr>
            <w:tcW w:w="14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(25,060)</w:t>
            </w:r>
          </w:p>
        </w:tc>
        <w:tc>
          <w:tcPr>
            <w:tcW w:w="3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(19,307)</w:t>
            </w:r>
          </w:p>
        </w:tc>
        <w:tc>
          <w:tcPr>
            <w:tcW w:w="16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(71,224)</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(61,846)</w:t>
            </w:r>
          </w:p>
        </w:tc>
        <w:tc>
          <w:tcPr>
            <w:tcW w:w="0" w:type="dxa"/>
            <w:vAlign w:val="bottom"/>
          </w:tcPr>
          <w:p>
            <w:pPr>
              <w:spacing w:after="0"/>
              <w:rPr>
                <w:sz w:val="1"/>
                <w:szCs w:val="1"/>
                <w:color w:val="auto"/>
              </w:rPr>
            </w:pPr>
          </w:p>
        </w:tc>
      </w:tr>
      <w:tr>
        <w:trPr>
          <w:trHeight w:val="203"/>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71,648</w:t>
            </w:r>
          </w:p>
        </w:tc>
        <w:tc>
          <w:tcPr>
            <w:tcW w:w="12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64,237</w:t>
            </w:r>
          </w:p>
        </w:tc>
        <w:tc>
          <w:tcPr>
            <w:tcW w:w="14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205,653</w:t>
            </w:r>
          </w:p>
        </w:tc>
        <w:tc>
          <w:tcPr>
            <w:tcW w:w="12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188,487</w:t>
            </w:r>
          </w:p>
        </w:tc>
        <w:tc>
          <w:tcPr>
            <w:tcW w:w="0" w:type="dxa"/>
            <w:vAlign w:val="bottom"/>
          </w:tcPr>
          <w:p>
            <w:pPr>
              <w:spacing w:after="0"/>
              <w:rPr>
                <w:sz w:val="1"/>
                <w:szCs w:val="1"/>
                <w:color w:val="auto"/>
              </w:rPr>
            </w:pPr>
          </w:p>
        </w:tc>
      </w:tr>
      <w:tr>
        <w:trPr>
          <w:trHeight w:val="223"/>
        </w:trPr>
        <w:tc>
          <w:tcPr>
            <w:tcW w:w="37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Earnings Per Share</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5.49</w:t>
            </w:r>
          </w:p>
        </w:tc>
        <w:tc>
          <w:tcPr>
            <w:tcW w:w="120" w:type="dxa"/>
            <w:vAlign w:val="bottom"/>
          </w:tcPr>
          <w:p>
            <w:pPr>
              <w:spacing w:after="0"/>
              <w:rPr>
                <w:sz w:val="19"/>
                <w:szCs w:val="19"/>
                <w:color w:val="auto"/>
              </w:rPr>
            </w:pPr>
          </w:p>
        </w:tc>
        <w:tc>
          <w:tcPr>
            <w:tcW w:w="300" w:type="dxa"/>
            <w:vAlign w:val="bottom"/>
            <w:vMerge w:val="restart"/>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4.46</w:t>
            </w:r>
          </w:p>
        </w:tc>
        <w:tc>
          <w:tcPr>
            <w:tcW w:w="140" w:type="dxa"/>
            <w:vAlign w:val="bottom"/>
          </w:tcPr>
          <w:p>
            <w:pPr>
              <w:spacing w:after="0"/>
              <w:rPr>
                <w:sz w:val="19"/>
                <w:szCs w:val="19"/>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15.46</w:t>
            </w:r>
          </w:p>
        </w:tc>
        <w:tc>
          <w:tcPr>
            <w:tcW w:w="120" w:type="dxa"/>
            <w:vAlign w:val="bottom"/>
          </w:tcPr>
          <w:p>
            <w:pPr>
              <w:spacing w:after="0"/>
              <w:rPr>
                <w:sz w:val="19"/>
                <w:szCs w:val="19"/>
                <w:color w:val="auto"/>
              </w:rPr>
            </w:pPr>
          </w:p>
        </w:tc>
        <w:tc>
          <w:tcPr>
            <w:tcW w:w="30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12.97</w:t>
            </w:r>
          </w:p>
        </w:tc>
        <w:tc>
          <w:tcPr>
            <w:tcW w:w="0" w:type="dxa"/>
            <w:vAlign w:val="bottom"/>
          </w:tcPr>
          <w:p>
            <w:pPr>
              <w:spacing w:after="0"/>
              <w:rPr>
                <w:sz w:val="1"/>
                <w:szCs w:val="1"/>
                <w:color w:val="auto"/>
              </w:rPr>
            </w:pPr>
          </w:p>
        </w:tc>
      </w:tr>
      <w:tr>
        <w:trPr>
          <w:trHeight w:val="193"/>
        </w:trPr>
        <w:tc>
          <w:tcPr>
            <w:tcW w:w="3780" w:type="dxa"/>
            <w:vAlign w:val="bottom"/>
          </w:tcPr>
          <w:p>
            <w:pPr>
              <w:ind w:left="220"/>
              <w:spacing w:after="0" w:line="181" w:lineRule="exact"/>
              <w:rPr>
                <w:sz w:val="20"/>
                <w:szCs w:val="20"/>
                <w:color w:val="auto"/>
              </w:rPr>
            </w:pPr>
            <w:r>
              <w:rPr>
                <w:rFonts w:ascii="Times New Roman" w:cs="Times New Roman" w:eastAsia="Times New Roman" w:hAnsi="Times New Roman"/>
                <w:sz w:val="16"/>
                <w:szCs w:val="16"/>
                <w:color w:val="auto"/>
              </w:rPr>
              <w:t>Net income</w:t>
            </w:r>
          </w:p>
        </w:tc>
        <w:tc>
          <w:tcPr>
            <w:tcW w:w="140" w:type="dxa"/>
            <w:vAlign w:val="bottom"/>
            <w:tcBorders>
              <w:bottom w:val="single" w:sz="8" w:color="auto"/>
            </w:tcBorders>
            <w:vMerge w:val="continue"/>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vMerge w:val="continue"/>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vMerge w:val="continue"/>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7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Average number of shares outstanding</w:t>
            </w: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13,058</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14,394</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13,300</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14,535</w:t>
            </w:r>
          </w:p>
        </w:tc>
        <w:tc>
          <w:tcPr>
            <w:tcW w:w="0" w:type="dxa"/>
            <w:vAlign w:val="bottom"/>
          </w:tcPr>
          <w:p>
            <w:pPr>
              <w:spacing w:after="0"/>
              <w:rPr>
                <w:sz w:val="1"/>
                <w:szCs w:val="1"/>
                <w:color w:val="auto"/>
              </w:rPr>
            </w:pPr>
          </w:p>
        </w:tc>
      </w:tr>
      <w:tr>
        <w:trPr>
          <w:trHeight w:val="223"/>
        </w:trPr>
        <w:tc>
          <w:tcPr>
            <w:tcW w:w="37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Diluted Earnings Per Share</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5.45</w:t>
            </w:r>
          </w:p>
        </w:tc>
        <w:tc>
          <w:tcPr>
            <w:tcW w:w="120" w:type="dxa"/>
            <w:vAlign w:val="bottom"/>
          </w:tcPr>
          <w:p>
            <w:pPr>
              <w:spacing w:after="0"/>
              <w:rPr>
                <w:sz w:val="19"/>
                <w:szCs w:val="19"/>
                <w:color w:val="auto"/>
              </w:rPr>
            </w:pPr>
          </w:p>
        </w:tc>
        <w:tc>
          <w:tcPr>
            <w:tcW w:w="300" w:type="dxa"/>
            <w:vAlign w:val="bottom"/>
            <w:vMerge w:val="restart"/>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4.46</w:t>
            </w:r>
          </w:p>
        </w:tc>
        <w:tc>
          <w:tcPr>
            <w:tcW w:w="140" w:type="dxa"/>
            <w:vAlign w:val="bottom"/>
          </w:tcPr>
          <w:p>
            <w:pPr>
              <w:spacing w:after="0"/>
              <w:rPr>
                <w:sz w:val="19"/>
                <w:szCs w:val="19"/>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15.43</w:t>
            </w:r>
          </w:p>
        </w:tc>
        <w:tc>
          <w:tcPr>
            <w:tcW w:w="120" w:type="dxa"/>
            <w:vAlign w:val="bottom"/>
          </w:tcPr>
          <w:p>
            <w:pPr>
              <w:spacing w:after="0"/>
              <w:rPr>
                <w:sz w:val="19"/>
                <w:szCs w:val="19"/>
                <w:color w:val="auto"/>
              </w:rPr>
            </w:pPr>
          </w:p>
        </w:tc>
        <w:tc>
          <w:tcPr>
            <w:tcW w:w="30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12.89</w:t>
            </w:r>
          </w:p>
        </w:tc>
        <w:tc>
          <w:tcPr>
            <w:tcW w:w="0" w:type="dxa"/>
            <w:vAlign w:val="bottom"/>
          </w:tcPr>
          <w:p>
            <w:pPr>
              <w:spacing w:after="0"/>
              <w:rPr>
                <w:sz w:val="1"/>
                <w:szCs w:val="1"/>
                <w:color w:val="auto"/>
              </w:rPr>
            </w:pPr>
          </w:p>
        </w:tc>
      </w:tr>
      <w:tr>
        <w:trPr>
          <w:trHeight w:val="193"/>
        </w:trPr>
        <w:tc>
          <w:tcPr>
            <w:tcW w:w="3780" w:type="dxa"/>
            <w:vAlign w:val="bottom"/>
          </w:tcPr>
          <w:p>
            <w:pPr>
              <w:ind w:left="220"/>
              <w:spacing w:after="0" w:line="181" w:lineRule="exact"/>
              <w:rPr>
                <w:sz w:val="20"/>
                <w:szCs w:val="20"/>
                <w:color w:val="auto"/>
              </w:rPr>
            </w:pPr>
            <w:r>
              <w:rPr>
                <w:rFonts w:ascii="Times New Roman" w:cs="Times New Roman" w:eastAsia="Times New Roman" w:hAnsi="Times New Roman"/>
                <w:sz w:val="16"/>
                <w:szCs w:val="16"/>
                <w:color w:val="auto"/>
              </w:rPr>
              <w:t>Net income</w:t>
            </w:r>
          </w:p>
        </w:tc>
        <w:tc>
          <w:tcPr>
            <w:tcW w:w="140" w:type="dxa"/>
            <w:vAlign w:val="bottom"/>
            <w:tcBorders>
              <w:bottom w:val="single" w:sz="8" w:color="auto"/>
            </w:tcBorders>
            <w:vMerge w:val="continue"/>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vMerge w:val="continue"/>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vMerge w:val="continue"/>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7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Average number of shares outstanding</w:t>
            </w: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13,135</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14,409</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13,329</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14,620</w:t>
            </w:r>
          </w:p>
        </w:tc>
        <w:tc>
          <w:tcPr>
            <w:tcW w:w="0" w:type="dxa"/>
            <w:vAlign w:val="bottom"/>
          </w:tcPr>
          <w:p>
            <w:pPr>
              <w:spacing w:after="0"/>
              <w:rPr>
                <w:sz w:val="1"/>
                <w:szCs w:val="1"/>
                <w:color w:val="auto"/>
              </w:rPr>
            </w:pPr>
          </w:p>
        </w:tc>
      </w:tr>
      <w:tr>
        <w:trPr>
          <w:trHeight w:val="203"/>
        </w:trPr>
        <w:tc>
          <w:tcPr>
            <w:tcW w:w="37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6"/>
          <w:szCs w:val="16"/>
          <w:color w:val="auto"/>
        </w:rPr>
        <w:t>(aa)</w:t>
        <w:tab/>
        <w:t>Selling, general and administrative ("SG&amp;A") expenses comprise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720" w:type="dxa"/>
            <w:vAlign w:val="bottom"/>
            <w:gridSpan w:val="5"/>
          </w:tcPr>
          <w:p>
            <w:pPr>
              <w:jc w:val="right"/>
              <w:ind w:right="320"/>
              <w:spacing w:after="0"/>
              <w:rPr>
                <w:sz w:val="20"/>
                <w:szCs w:val="20"/>
                <w:color w:val="auto"/>
              </w:rPr>
            </w:pPr>
            <w:r>
              <w:rPr>
                <w:rFonts w:ascii="Times New Roman" w:cs="Times New Roman" w:eastAsia="Times New Roman" w:hAnsi="Times New Roman"/>
                <w:sz w:val="16"/>
                <w:szCs w:val="16"/>
                <w:color w:val="auto"/>
              </w:rPr>
              <w:t>Three Months Ended September 30,</w:t>
            </w:r>
          </w:p>
        </w:tc>
        <w:tc>
          <w:tcPr>
            <w:tcW w:w="160" w:type="dxa"/>
            <w:vAlign w:val="bottom"/>
          </w:tcPr>
          <w:p>
            <w:pPr>
              <w:spacing w:after="0"/>
              <w:rPr>
                <w:sz w:val="16"/>
                <w:szCs w:val="16"/>
                <w:color w:val="auto"/>
              </w:rPr>
            </w:pPr>
          </w:p>
        </w:tc>
        <w:tc>
          <w:tcPr>
            <w:tcW w:w="260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auto"/>
              </w:rPr>
              <w:t>Nine Months Ended September 30,</w:t>
            </w:r>
          </w:p>
        </w:tc>
        <w:tc>
          <w:tcPr>
            <w:tcW w:w="0" w:type="dxa"/>
            <w:vAlign w:val="bottom"/>
          </w:tcPr>
          <w:p>
            <w:pPr>
              <w:spacing w:after="0"/>
              <w:rPr>
                <w:sz w:val="1"/>
                <w:szCs w:val="1"/>
                <w:color w:val="auto"/>
              </w:rPr>
            </w:pPr>
          </w:p>
        </w:tc>
      </w:tr>
      <w:tr>
        <w:trPr>
          <w:trHeight w:val="196"/>
        </w:trPr>
        <w:tc>
          <w:tcPr>
            <w:tcW w:w="37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SG&amp;A expenses before long-term incentive</w:t>
            </w:r>
          </w:p>
        </w:tc>
        <w:tc>
          <w:tcPr>
            <w:tcW w:w="1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rPr>
              <w:t>2025</w:t>
            </w:r>
          </w:p>
        </w:tc>
        <w:tc>
          <w:tcPr>
            <w:tcW w:w="14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rPr>
              <w:t>2025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5"/>
        </w:trPr>
        <w:tc>
          <w:tcPr>
            <w:tcW w:w="378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0"/>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compensation</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and the impact of market value adjustments related to</w:t>
            </w:r>
          </w:p>
        </w:tc>
        <w:tc>
          <w:tcPr>
            <w:tcW w:w="140" w:type="dxa"/>
            <w:vAlign w:val="bottom"/>
          </w:tcPr>
          <w:p>
            <w:pPr>
              <w:spacing w:after="0"/>
              <w:rPr>
                <w:sz w:val="18"/>
                <w:szCs w:val="18"/>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106,241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99,288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324,428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301,600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deferred compensation plans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Market value adjustments related to deferred</w:t>
            </w:r>
          </w:p>
        </w:tc>
        <w:tc>
          <w:tcPr>
            <w:tcW w:w="140" w:type="dxa"/>
            <w:vAlign w:val="bottom"/>
          </w:tcPr>
          <w:p>
            <w:pPr>
              <w:spacing w:after="0"/>
              <w:rPr>
                <w:sz w:val="18"/>
                <w:szCs w:val="18"/>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2,077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6,703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9,661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6,791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37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compensation trusts</w:t>
            </w:r>
          </w:p>
        </w:tc>
        <w:tc>
          <w:tcPr>
            <w:tcW w:w="14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Long-term incentive compensation</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3,151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(216)</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6,904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7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SG&amp;A expenses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111,469</w:t>
            </w:r>
          </w:p>
        </w:tc>
        <w:tc>
          <w:tcPr>
            <w:tcW w:w="12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105,775</w:t>
            </w:r>
          </w:p>
        </w:tc>
        <w:tc>
          <w:tcPr>
            <w:tcW w:w="14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340,993</w:t>
            </w:r>
          </w:p>
        </w:tc>
        <w:tc>
          <w:tcPr>
            <w:tcW w:w="12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311,685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42"/>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(bb)  Other income--net comprises (in thousands):</w:t>
            </w: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3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20" w:type="dxa"/>
            <w:vAlign w:val="bottom"/>
            <w:gridSpan w:val="5"/>
          </w:tcPr>
          <w:p>
            <w:pPr>
              <w:jc w:val="right"/>
              <w:ind w:right="320"/>
              <w:spacing w:after="0"/>
              <w:rPr>
                <w:sz w:val="20"/>
                <w:szCs w:val="20"/>
                <w:color w:val="auto"/>
              </w:rPr>
            </w:pPr>
            <w:r>
              <w:rPr>
                <w:rFonts w:ascii="Times New Roman" w:cs="Times New Roman" w:eastAsia="Times New Roman" w:hAnsi="Times New Roman"/>
                <w:sz w:val="16"/>
                <w:szCs w:val="16"/>
                <w:color w:val="auto"/>
              </w:rPr>
              <w:t>Three Months Ended September 30,</w:t>
            </w:r>
          </w:p>
        </w:tc>
        <w:tc>
          <w:tcPr>
            <w:tcW w:w="160" w:type="dxa"/>
            <w:vAlign w:val="bottom"/>
          </w:tcPr>
          <w:p>
            <w:pPr>
              <w:spacing w:after="0"/>
              <w:rPr>
                <w:sz w:val="18"/>
                <w:szCs w:val="18"/>
                <w:color w:val="auto"/>
              </w:rPr>
            </w:pPr>
          </w:p>
        </w:tc>
        <w:tc>
          <w:tcPr>
            <w:tcW w:w="260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auto"/>
              </w:rPr>
              <w:t>Nine Months Ended September 30,</w:t>
            </w:r>
          </w:p>
        </w:tc>
        <w:tc>
          <w:tcPr>
            <w:tcW w:w="0" w:type="dxa"/>
            <w:vAlign w:val="bottom"/>
          </w:tcPr>
          <w:p>
            <w:pPr>
              <w:spacing w:after="0"/>
              <w:rPr>
                <w:sz w:val="1"/>
                <w:szCs w:val="1"/>
                <w:color w:val="auto"/>
              </w:rPr>
            </w:pPr>
          </w:p>
        </w:tc>
      </w:tr>
      <w:tr>
        <w:trPr>
          <w:trHeight w:val="196"/>
        </w:trPr>
        <w:tc>
          <w:tcPr>
            <w:tcW w:w="378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rPr>
              <w:t>2025</w:t>
            </w:r>
          </w:p>
        </w:tc>
        <w:tc>
          <w:tcPr>
            <w:tcW w:w="14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rPr>
              <w:t>2025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3"/>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Market value adjustments related to deferred</w:t>
            </w:r>
          </w:p>
        </w:tc>
        <w:tc>
          <w:tcPr>
            <w:tcW w:w="140" w:type="dxa"/>
            <w:vAlign w:val="bottom"/>
          </w:tcPr>
          <w:p>
            <w:pPr>
              <w:spacing w:after="0"/>
              <w:rPr>
                <w:sz w:val="24"/>
                <w:szCs w:val="24"/>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2,077</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6,703</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9,661</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6,791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37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compensation trusts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Interest income</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295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1,399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7,186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Other</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(7)</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03"/>
        </w:trPr>
        <w:tc>
          <w:tcPr>
            <w:tcW w:w="37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other income--net</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2,383</w:t>
            </w:r>
          </w:p>
        </w:tc>
        <w:tc>
          <w:tcPr>
            <w:tcW w:w="12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9,251</w:t>
            </w:r>
          </w:p>
        </w:tc>
        <w:tc>
          <w:tcPr>
            <w:tcW w:w="14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11,071</w:t>
            </w:r>
          </w:p>
        </w:tc>
        <w:tc>
          <w:tcPr>
            <w:tcW w:w="12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13,970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37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78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116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300" w:type="dxa"/>
            <w:vAlign w:val="bottom"/>
            <w:tcBorders>
              <w:bottom w:val="single" w:sz="8" w:color="EEEEEE"/>
            </w:tcBorders>
          </w:tcPr>
          <w:p>
            <w:pPr>
              <w:spacing w:after="0" w:line="20" w:lineRule="exact"/>
              <w:rPr>
                <w:sz w:val="1"/>
                <w:szCs w:val="1"/>
                <w:color w:val="auto"/>
              </w:rPr>
            </w:pPr>
          </w:p>
        </w:tc>
        <w:tc>
          <w:tcPr>
            <w:tcW w:w="100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14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300" w:type="dxa"/>
            <w:vAlign w:val="bottom"/>
            <w:tcBorders>
              <w:bottom w:val="single" w:sz="8" w:color="EEEEEE"/>
            </w:tcBorders>
          </w:tcPr>
          <w:p>
            <w:pPr>
              <w:spacing w:after="0" w:line="20" w:lineRule="exact"/>
              <w:rPr>
                <w:sz w:val="1"/>
                <w:szCs w:val="1"/>
                <w:color w:val="auto"/>
              </w:rPr>
            </w:pPr>
          </w:p>
        </w:tc>
        <w:tc>
          <w:tcPr>
            <w:tcW w:w="100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5951220</wp:posOffset>
            </wp:positionH>
            <wp:positionV relativeFrom="paragraph">
              <wp:posOffset>-37465</wp:posOffset>
            </wp:positionV>
            <wp:extent cx="34290" cy="508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5080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-37465</wp:posOffset>
            </wp:positionV>
            <wp:extent cx="33655" cy="508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50800"/>
                    </a:xfrm>
                    <a:prstGeom prst="rect">
                      <a:avLst/>
                    </a:prstGeom>
                    <a:noFill/>
                  </pic:spPr>
                </pic:pic>
              </a:graphicData>
            </a:graphic>
          </wp:anchor>
        </w:drawing>
      </w:r>
    </w:p>
    <w:p>
      <w:pPr>
        <w:sectPr>
          <w:pgSz w:w="11900" w:h="16838" w:orient="portrait"/>
          <w:cols w:equalWidth="0" w:num="1">
            <w:col w:w="9479"/>
          </w:cols>
          <w:pgMar w:left="980" w:top="259" w:right="1440" w:bottom="1440" w:gutter="0" w:footer="0" w:header="0"/>
        </w:sectPr>
      </w:pPr>
    </w:p>
    <w:bookmarkStart w:id="9" w:name="page10"/>
    <w:bookmarkEnd w:id="9"/>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CHEMED CORPORATION AND SUBSIDIARY COMPANIES</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(in thousands, except per share data)(unaudited)</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September 30,</w:t>
            </w:r>
          </w:p>
        </w:tc>
        <w:tc>
          <w:tcPr>
            <w:tcW w:w="90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8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6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99"/>
              </w:rPr>
              <w:t>2025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5620" w:type="dxa"/>
            <w:vAlign w:val="bottom"/>
            <w:vMerge w:val="continue"/>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Current assets</w:t>
            </w:r>
          </w:p>
        </w:tc>
        <w:tc>
          <w:tcPr>
            <w:tcW w:w="11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48,427</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129,752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5620" w:type="dxa"/>
            <w:vAlign w:val="bottom"/>
          </w:tcPr>
          <w:p>
            <w:pPr>
              <w:ind w:left="420"/>
              <w:spacing w:after="0" w:line="199" w:lineRule="exact"/>
              <w:rPr>
                <w:sz w:val="20"/>
                <w:szCs w:val="20"/>
                <w:color w:val="auto"/>
              </w:rPr>
            </w:pPr>
            <w:r>
              <w:rPr>
                <w:rFonts w:ascii="Times New Roman" w:cs="Times New Roman" w:eastAsia="Times New Roman" w:hAnsi="Times New Roman"/>
                <w:sz w:val="18"/>
                <w:szCs w:val="18"/>
                <w:color w:val="auto"/>
              </w:rPr>
              <w:t>Cash and cash equivalents</w:t>
            </w:r>
          </w:p>
        </w:tc>
        <w:tc>
          <w:tcPr>
            <w:tcW w:w="1120" w:type="dxa"/>
            <w:vAlign w:val="bottom"/>
            <w:gridSpan w:val="2"/>
            <w:vMerge w:val="continue"/>
          </w:tcPr>
          <w:p>
            <w:pPr>
              <w:spacing w:after="0"/>
              <w:rPr>
                <w:sz w:val="17"/>
                <w:szCs w:val="17"/>
                <w:color w:val="auto"/>
              </w:rPr>
            </w:pPr>
          </w:p>
        </w:tc>
        <w:tc>
          <w:tcPr>
            <w:tcW w:w="10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6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Accounts receivable less allowances</w:t>
            </w: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254,861</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215,570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Inventories</w:t>
            </w: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7,748</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Prepaid income taxes</w:t>
            </w: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16,346</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6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Prepaid expenses</w:t>
            </w:r>
          </w:p>
        </w:tc>
        <w:tc>
          <w:tcPr>
            <w:tcW w:w="8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38,346</w:t>
            </w:r>
          </w:p>
        </w:tc>
        <w:tc>
          <w:tcPr>
            <w:tcW w:w="16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34,577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5620" w:type="dxa"/>
            <w:vAlign w:val="bottom"/>
          </w:tcPr>
          <w:p>
            <w:pPr>
              <w:ind w:left="760"/>
              <w:spacing w:after="0" w:line="201" w:lineRule="exact"/>
              <w:rPr>
                <w:sz w:val="20"/>
                <w:szCs w:val="20"/>
                <w:color w:val="auto"/>
              </w:rPr>
            </w:pPr>
            <w:r>
              <w:rPr>
                <w:rFonts w:ascii="Times New Roman" w:cs="Times New Roman" w:eastAsia="Times New Roman" w:hAnsi="Times New Roman"/>
                <w:sz w:val="18"/>
                <w:szCs w:val="18"/>
                <w:color w:val="auto"/>
              </w:rPr>
              <w:t>Total current assets</w:t>
            </w: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b w:val="1"/>
                <w:bCs w:val="1"/>
                <w:color w:val="auto"/>
              </w:rPr>
              <w:t>365,728</w:t>
            </w: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395,243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Investments of deferred compensation plans held in trust</w:t>
            </w: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144,845</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136,021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Properties and equipment, at cost less accumulated depreciation</w:t>
            </w: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216,961</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203,939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Lease right of use asset</w:t>
            </w: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144,029</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128,362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Identifiable intangible assets less accumulated amortization</w:t>
            </w: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78,791</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84,930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Goodwill</w:t>
            </w: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754,758</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666,987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assets</w:t>
            </w:r>
          </w:p>
        </w:tc>
        <w:tc>
          <w:tcPr>
            <w:tcW w:w="8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13,327</w:t>
            </w:r>
          </w:p>
        </w:tc>
        <w:tc>
          <w:tcPr>
            <w:tcW w:w="16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8,137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56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Total Assets</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1,718,439</w:t>
            </w:r>
          </w:p>
        </w:tc>
        <w:tc>
          <w:tcPr>
            <w:tcW w:w="160" w:type="dxa"/>
            <w:vAlign w:val="bottom"/>
          </w:tcPr>
          <w:p>
            <w:pPr>
              <w:spacing w:after="0"/>
              <w:rPr>
                <w:sz w:val="18"/>
                <w:szCs w:val="18"/>
                <w:color w:val="auto"/>
              </w:rPr>
            </w:pPr>
          </w:p>
        </w:tc>
        <w:tc>
          <w:tcPr>
            <w:tcW w:w="480" w:type="dxa"/>
            <w:vAlign w:val="bottom"/>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1,623,619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8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Current liabilities</w:t>
            </w:r>
          </w:p>
        </w:tc>
        <w:tc>
          <w:tcPr>
            <w:tcW w:w="11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65,297</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48,095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5620" w:type="dxa"/>
            <w:vAlign w:val="bottom"/>
          </w:tcPr>
          <w:p>
            <w:pPr>
              <w:ind w:left="420"/>
              <w:spacing w:after="0" w:line="199" w:lineRule="exact"/>
              <w:rPr>
                <w:sz w:val="20"/>
                <w:szCs w:val="20"/>
                <w:color w:val="auto"/>
              </w:rPr>
            </w:pPr>
            <w:r>
              <w:rPr>
                <w:rFonts w:ascii="Times New Roman" w:cs="Times New Roman" w:eastAsia="Times New Roman" w:hAnsi="Times New Roman"/>
                <w:sz w:val="18"/>
                <w:szCs w:val="18"/>
                <w:color w:val="auto"/>
              </w:rPr>
              <w:t>Accounts payable</w:t>
            </w:r>
          </w:p>
        </w:tc>
        <w:tc>
          <w:tcPr>
            <w:tcW w:w="1120" w:type="dxa"/>
            <w:vAlign w:val="bottom"/>
            <w:gridSpan w:val="2"/>
            <w:vMerge w:val="continue"/>
          </w:tcPr>
          <w:p>
            <w:pPr>
              <w:spacing w:after="0"/>
              <w:rPr>
                <w:sz w:val="17"/>
                <w:szCs w:val="17"/>
                <w:color w:val="auto"/>
              </w:rPr>
            </w:pPr>
          </w:p>
        </w:tc>
        <w:tc>
          <w:tcPr>
            <w:tcW w:w="10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56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Accrued insurance</w:t>
            </w: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77,044</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65,733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56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Accrued income taxes</w:t>
            </w: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Accrued compensation</w:t>
            </w: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89,044</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79,668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Short-term lease liability</w:t>
            </w: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41,209</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42,013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6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8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58,340</w:t>
            </w:r>
          </w:p>
        </w:tc>
        <w:tc>
          <w:tcPr>
            <w:tcW w:w="16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55,063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5620" w:type="dxa"/>
            <w:vAlign w:val="bottom"/>
          </w:tcPr>
          <w:p>
            <w:pPr>
              <w:ind w:left="640"/>
              <w:spacing w:after="0" w:line="201" w:lineRule="exact"/>
              <w:rPr>
                <w:sz w:val="20"/>
                <w:szCs w:val="20"/>
                <w:color w:val="auto"/>
              </w:rPr>
            </w:pPr>
            <w:r>
              <w:rPr>
                <w:rFonts w:ascii="Times New Roman" w:cs="Times New Roman" w:eastAsia="Times New Roman" w:hAnsi="Times New Roman"/>
                <w:sz w:val="18"/>
                <w:szCs w:val="18"/>
                <w:color w:val="auto"/>
              </w:rPr>
              <w:t>Total current liabilities</w:t>
            </w: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b w:val="1"/>
                <w:bCs w:val="1"/>
                <w:color w:val="auto"/>
              </w:rPr>
              <w:t>330,934</w:t>
            </w: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292,041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income taxes</w:t>
            </w: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18,855</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compensation liabilities</w:t>
            </w: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142,421</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132,380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Long-term debt</w:t>
            </w: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236,000</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Long-term lease liability</w:t>
            </w: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114,985</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99,461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liabilities</w:t>
            </w:r>
          </w:p>
        </w:tc>
        <w:tc>
          <w:tcPr>
            <w:tcW w:w="8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13,823</w:t>
            </w:r>
          </w:p>
        </w:tc>
        <w:tc>
          <w:tcPr>
            <w:tcW w:w="16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13,367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6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Total Liabilities</w:t>
            </w:r>
          </w:p>
        </w:tc>
        <w:tc>
          <w:tcPr>
            <w:tcW w:w="8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857,018</w:t>
            </w:r>
          </w:p>
        </w:tc>
        <w:tc>
          <w:tcPr>
            <w:tcW w:w="16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546,936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5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37,762</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37,593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620" w:type="dxa"/>
            <w:vAlign w:val="bottom"/>
          </w:tcPr>
          <w:p>
            <w:pPr>
              <w:ind w:left="220"/>
              <w:spacing w:after="0" w:line="199" w:lineRule="exact"/>
              <w:rPr>
                <w:sz w:val="20"/>
                <w:szCs w:val="20"/>
                <w:color w:val="auto"/>
              </w:rPr>
            </w:pPr>
            <w:r>
              <w:rPr>
                <w:rFonts w:ascii="Times New Roman" w:cs="Times New Roman" w:eastAsia="Times New Roman" w:hAnsi="Times New Roman"/>
                <w:sz w:val="18"/>
                <w:szCs w:val="18"/>
                <w:color w:val="auto"/>
              </w:rPr>
              <w:t>Capital stock</w:t>
            </w: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Paid-in capital</w:t>
            </w: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1,693,508</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1,581,067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Retained earnings</w:t>
            </w: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3,135,794</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2,887,123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Treasury stock, at cost</w:t>
            </w: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(4,008,128)</w:t>
            </w:r>
          </w:p>
        </w:tc>
        <w:tc>
          <w:tcPr>
            <w:tcW w:w="48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(3,431,475)</w:t>
            </w:r>
          </w:p>
        </w:tc>
        <w:tc>
          <w:tcPr>
            <w:tcW w:w="0" w:type="dxa"/>
            <w:vAlign w:val="bottom"/>
          </w:tcPr>
          <w:p>
            <w:pPr>
              <w:spacing w:after="0"/>
              <w:rPr>
                <w:sz w:val="1"/>
                <w:szCs w:val="1"/>
                <w:color w:val="auto"/>
              </w:rPr>
            </w:pPr>
          </w:p>
        </w:tc>
      </w:tr>
      <w:tr>
        <w:trPr>
          <w:trHeight w:val="238"/>
        </w:trPr>
        <w:tc>
          <w:tcPr>
            <w:tcW w:w="5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compensation payable in Company stock</w:t>
            </w:r>
          </w:p>
        </w:tc>
        <w:tc>
          <w:tcPr>
            <w:tcW w:w="8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2,485</w:t>
            </w:r>
          </w:p>
        </w:tc>
        <w:tc>
          <w:tcPr>
            <w:tcW w:w="16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6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8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861,421</w:t>
            </w:r>
          </w:p>
        </w:tc>
        <w:tc>
          <w:tcPr>
            <w:tcW w:w="16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1,076,683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1,718,439</w:t>
            </w:r>
          </w:p>
        </w:tc>
        <w:tc>
          <w:tcPr>
            <w:tcW w:w="160" w:type="dxa"/>
            <w:vAlign w:val="bottom"/>
          </w:tcPr>
          <w:p>
            <w:pPr>
              <w:spacing w:after="0"/>
              <w:rPr>
                <w:sz w:val="18"/>
                <w:szCs w:val="18"/>
                <w:color w:val="auto"/>
              </w:rPr>
            </w:pPr>
          </w:p>
        </w:tc>
        <w:tc>
          <w:tcPr>
            <w:tcW w:w="480" w:type="dxa"/>
            <w:vAlign w:val="bottom"/>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1,623,619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56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300" w:type="dxa"/>
            <w:vAlign w:val="bottom"/>
            <w:tcBorders>
              <w:top w:val="single" w:sz="8" w:color="auto"/>
              <w:bottom w:val="single" w:sz="8" w:color="9A9A9A"/>
            </w:tcBorders>
          </w:tcPr>
          <w:p>
            <w:pPr>
              <w:spacing w:after="0"/>
              <w:rPr>
                <w:sz w:val="24"/>
                <w:szCs w:val="24"/>
                <w:color w:val="auto"/>
              </w:rPr>
            </w:pPr>
          </w:p>
        </w:tc>
        <w:tc>
          <w:tcPr>
            <w:tcW w:w="1080" w:type="dxa"/>
            <w:vAlign w:val="bottom"/>
            <w:tcBorders>
              <w:top w:val="single" w:sz="8" w:color="auto"/>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80" w:type="dxa"/>
            <w:vAlign w:val="bottom"/>
            <w:tcBorders>
              <w:top w:val="single" w:sz="8" w:color="auto"/>
              <w:bottom w:val="single" w:sz="8" w:color="9A9A9A"/>
            </w:tcBorders>
          </w:tcPr>
          <w:p>
            <w:pPr>
              <w:spacing w:after="0"/>
              <w:rPr>
                <w:sz w:val="24"/>
                <w:szCs w:val="24"/>
                <w:color w:val="auto"/>
              </w:rPr>
            </w:pPr>
          </w:p>
        </w:tc>
        <w:tc>
          <w:tcPr>
            <w:tcW w:w="900" w:type="dxa"/>
            <w:vAlign w:val="bottom"/>
            <w:tcBorders>
              <w:top w:val="single" w:sz="8" w:color="auto"/>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620" w:type="dxa"/>
            <w:vAlign w:val="bottom"/>
            <w:tcBorders>
              <w:bottom w:val="single" w:sz="8" w:color="EEEEEE"/>
            </w:tcBorders>
          </w:tcPr>
          <w:p>
            <w:pPr>
              <w:spacing w:after="0" w:line="20" w:lineRule="exact"/>
              <w:rPr>
                <w:sz w:val="1"/>
                <w:szCs w:val="1"/>
                <w:color w:val="auto"/>
              </w:rPr>
            </w:pPr>
          </w:p>
        </w:tc>
        <w:tc>
          <w:tcPr>
            <w:tcW w:w="820" w:type="dxa"/>
            <w:vAlign w:val="bottom"/>
            <w:tcBorders>
              <w:bottom w:val="single" w:sz="8" w:color="EEEEEE"/>
            </w:tcBorders>
          </w:tcPr>
          <w:p>
            <w:pPr>
              <w:spacing w:after="0" w:line="20" w:lineRule="exact"/>
              <w:rPr>
                <w:sz w:val="1"/>
                <w:szCs w:val="1"/>
                <w:color w:val="auto"/>
              </w:rPr>
            </w:pPr>
          </w:p>
        </w:tc>
        <w:tc>
          <w:tcPr>
            <w:tcW w:w="300" w:type="dxa"/>
            <w:vAlign w:val="bottom"/>
            <w:tcBorders>
              <w:bottom w:val="single" w:sz="8" w:color="EEEEEE"/>
            </w:tcBorders>
          </w:tcPr>
          <w:p>
            <w:pPr>
              <w:spacing w:after="0" w:line="20" w:lineRule="exact"/>
              <w:rPr>
                <w:sz w:val="1"/>
                <w:szCs w:val="1"/>
                <w:color w:val="auto"/>
              </w:rPr>
            </w:pPr>
          </w:p>
        </w:tc>
        <w:tc>
          <w:tcPr>
            <w:tcW w:w="108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480" w:type="dxa"/>
            <w:vAlign w:val="bottom"/>
            <w:tcBorders>
              <w:bottom w:val="single" w:sz="8" w:color="EEEEEE"/>
            </w:tcBorders>
          </w:tcPr>
          <w:p>
            <w:pPr>
              <w:spacing w:after="0" w:line="20" w:lineRule="exact"/>
              <w:rPr>
                <w:sz w:val="1"/>
                <w:szCs w:val="1"/>
                <w:color w:val="auto"/>
              </w:rPr>
            </w:pPr>
          </w:p>
        </w:tc>
        <w:tc>
          <w:tcPr>
            <w:tcW w:w="90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5951220</wp:posOffset>
            </wp:positionH>
            <wp:positionV relativeFrom="paragraph">
              <wp:posOffset>-37465</wp:posOffset>
            </wp:positionV>
            <wp:extent cx="34290" cy="508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5080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-37465</wp:posOffset>
            </wp:positionV>
            <wp:extent cx="33655" cy="508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50800"/>
                    </a:xfrm>
                    <a:prstGeom prst="rect">
                      <a:avLst/>
                    </a:prstGeom>
                    <a:noFill/>
                  </pic:spPr>
                </pic:pic>
              </a:graphicData>
            </a:graphic>
          </wp:anchor>
        </w:drawing>
      </w:r>
    </w:p>
    <w:p>
      <w:pPr>
        <w:sectPr>
          <w:pgSz w:w="11900" w:h="16838" w:orient="portrait"/>
          <w:cols w:equalWidth="0" w:num="1">
            <w:col w:w="9479"/>
          </w:cols>
          <w:pgMar w:left="980" w:top="198" w:right="1440" w:bottom="1440" w:gutter="0" w:footer="0" w:header="0"/>
        </w:sectPr>
      </w:pPr>
    </w:p>
    <w:bookmarkStart w:id="10" w:name="page11"/>
    <w:bookmarkEnd w:id="10"/>
    <w:p>
      <w:pPr>
        <w:jc w:val="center"/>
        <w:ind w:right="119"/>
        <w:spacing w:after="0" w:line="284" w:lineRule="auto"/>
        <w:rPr>
          <w:sz w:val="20"/>
          <w:szCs w:val="20"/>
          <w:color w:val="auto"/>
        </w:rPr>
      </w:pPr>
      <w:r>
        <w:rPr>
          <w:rFonts w:ascii="Times New Roman" w:cs="Times New Roman" w:eastAsia="Times New Roman" w:hAnsi="Times New Roman"/>
          <w:sz w:val="18"/>
          <w:szCs w:val="18"/>
          <w:b w:val="1"/>
          <w:bCs w:val="1"/>
          <w:color w:val="auto"/>
        </w:rPr>
        <w:t xml:space="preserve">CHEMED CORPORATION AND SUBSIDIARY COMPANIES CONSOLIDATED STATEMENTS OF CASH FLOWS </w:t>
      </w:r>
      <w:r>
        <w:rPr>
          <w:rFonts w:ascii="Times New Roman" w:cs="Times New Roman" w:eastAsia="Times New Roman" w:hAnsi="Times New Roman"/>
          <w:sz w:val="18"/>
          <w:szCs w:val="18"/>
          <w:color w:val="auto"/>
        </w:rPr>
        <w:t>(in thousands)(unaudited)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8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For the Nine Months Ended September 30,</w:t>
            </w:r>
          </w:p>
        </w:tc>
        <w:tc>
          <w:tcPr>
            <w:tcW w:w="0" w:type="dxa"/>
            <w:vAlign w:val="bottom"/>
          </w:tcPr>
          <w:p>
            <w:pPr>
              <w:spacing w:after="0"/>
              <w:rPr>
                <w:sz w:val="1"/>
                <w:szCs w:val="1"/>
                <w:color w:val="auto"/>
              </w:rPr>
            </w:pPr>
          </w:p>
        </w:tc>
      </w:tr>
      <w:tr>
        <w:trPr>
          <w:trHeight w:val="210"/>
        </w:trPr>
        <w:tc>
          <w:tcPr>
            <w:tcW w:w="60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0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6020" w:type="dxa"/>
            <w:vAlign w:val="bottom"/>
            <w:vMerge w:val="continue"/>
          </w:tcPr>
          <w:p>
            <w:pPr>
              <w:spacing w:after="0"/>
              <w:rPr>
                <w:sz w:val="20"/>
                <w:szCs w:val="20"/>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205,653</w:t>
            </w:r>
          </w:p>
        </w:tc>
        <w:tc>
          <w:tcPr>
            <w:tcW w:w="220" w:type="dxa"/>
            <w:vAlign w:val="bottom"/>
          </w:tcPr>
          <w:p>
            <w:pPr>
              <w:spacing w:after="0"/>
              <w:rPr>
                <w:sz w:val="20"/>
                <w:szCs w:val="20"/>
                <w:color w:val="auto"/>
              </w:rPr>
            </w:pPr>
          </w:p>
        </w:tc>
        <w:tc>
          <w:tcPr>
            <w:tcW w:w="340" w:type="dxa"/>
            <w:vAlign w:val="bottom"/>
            <w:vMerge w:val="restart"/>
          </w:tcPr>
          <w:p>
            <w:pPr>
              <w:jc w:val="right"/>
              <w:ind w:right="1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188,487</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vMerge w:val="continue"/>
          </w:tcPr>
          <w:p>
            <w:pPr>
              <w:spacing w:after="0"/>
              <w:rPr>
                <w:sz w:val="19"/>
                <w:szCs w:val="19"/>
                <w:color w:val="auto"/>
              </w:rPr>
            </w:pPr>
          </w:p>
        </w:tc>
        <w:tc>
          <w:tcPr>
            <w:tcW w:w="144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vMerge w:val="continue"/>
          </w:tcPr>
          <w:p>
            <w:pPr>
              <w:spacing w:after="0"/>
              <w:rPr>
                <w:sz w:val="19"/>
                <w:szCs w:val="19"/>
                <w:color w:val="auto"/>
              </w:rPr>
            </w:pPr>
          </w:p>
        </w:tc>
        <w:tc>
          <w:tcPr>
            <w:tcW w:w="12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by operating activities:</w:t>
            </w:r>
          </w:p>
        </w:tc>
        <w:tc>
          <w:tcPr>
            <w:tcW w:w="100" w:type="dxa"/>
            <w:vAlign w:val="bottom"/>
          </w:tcPr>
          <w:p>
            <w:pPr>
              <w:spacing w:after="0"/>
              <w:rPr>
                <w:sz w:val="19"/>
                <w:szCs w:val="19"/>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51,260</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48,511</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6020" w:type="dxa"/>
            <w:vAlign w:val="bottom"/>
          </w:tcPr>
          <w:p>
            <w:pPr>
              <w:ind w:left="640"/>
              <w:spacing w:after="0" w:line="199" w:lineRule="exact"/>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tcPr>
          <w:p>
            <w:pPr>
              <w:spacing w:after="0"/>
              <w:rPr>
                <w:sz w:val="17"/>
                <w:szCs w:val="17"/>
                <w:color w:val="auto"/>
              </w:rPr>
            </w:pPr>
          </w:p>
        </w:tc>
        <w:tc>
          <w:tcPr>
            <w:tcW w:w="14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0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Stock option expense</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24,285</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24,374</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Noncash long-term incentive compensation</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6,784</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3,057</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Legal settlements</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6,000</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1,850</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Noncash directors' compensation</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1,191</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Benefit for deferred income taxes</w:t>
            </w:r>
          </w:p>
        </w:tc>
        <w:tc>
          <w:tcPr>
            <w:tcW w:w="100" w:type="dxa"/>
            <w:vAlign w:val="bottom"/>
          </w:tcPr>
          <w:p>
            <w:pPr>
              <w:spacing w:after="0"/>
              <w:rPr>
                <w:sz w:val="19"/>
                <w:szCs w:val="19"/>
                <w:color w:val="auto"/>
              </w:rPr>
            </w:pP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(456)</w:t>
            </w:r>
          </w:p>
        </w:tc>
        <w:tc>
          <w:tcPr>
            <w:tcW w:w="340" w:type="dxa"/>
            <w:vAlign w:val="bottom"/>
          </w:tcPr>
          <w:p>
            <w:pPr>
              <w:spacing w:after="0"/>
              <w:rPr>
                <w:sz w:val="19"/>
                <w:szCs w:val="19"/>
                <w:color w:val="auto"/>
              </w:rPr>
            </w:pPr>
          </w:p>
        </w:tc>
        <w:tc>
          <w:tcPr>
            <w:tcW w:w="12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(16,259)</w:t>
            </w:r>
          </w:p>
        </w:tc>
        <w:tc>
          <w:tcPr>
            <w:tcW w:w="0" w:type="dxa"/>
            <w:vAlign w:val="bottom"/>
          </w:tcPr>
          <w:p>
            <w:pPr>
              <w:spacing w:after="0"/>
              <w:rPr>
                <w:sz w:val="1"/>
                <w:szCs w:val="1"/>
                <w:color w:val="auto"/>
              </w:rPr>
            </w:pPr>
          </w:p>
        </w:tc>
      </w:tr>
      <w:tr>
        <w:trPr>
          <w:trHeight w:val="260"/>
        </w:trPr>
        <w:tc>
          <w:tcPr>
            <w:tcW w:w="60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10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255</w:t>
            </w: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60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Changes in operating assets and liabilities, excluding</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amounts acquired in business combinations:</w:t>
            </w:r>
          </w:p>
        </w:tc>
        <w:tc>
          <w:tcPr>
            <w:tcW w:w="100" w:type="dxa"/>
            <w:vAlign w:val="bottom"/>
          </w:tcPr>
          <w:p>
            <w:pPr>
              <w:spacing w:after="0"/>
              <w:rPr>
                <w:sz w:val="19"/>
                <w:szCs w:val="19"/>
                <w:color w:val="auto"/>
              </w:rPr>
            </w:pPr>
          </w:p>
        </w:tc>
        <w:tc>
          <w:tcPr>
            <w:tcW w:w="16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(71,304)</w:t>
            </w:r>
          </w:p>
        </w:tc>
        <w:tc>
          <w:tcPr>
            <w:tcW w:w="340" w:type="dxa"/>
            <w:vAlign w:val="bottom"/>
          </w:tcPr>
          <w:p>
            <w:pPr>
              <w:spacing w:after="0"/>
              <w:rPr>
                <w:sz w:val="19"/>
                <w:szCs w:val="19"/>
                <w:color w:val="auto"/>
              </w:rPr>
            </w:pPr>
          </w:p>
        </w:tc>
        <w:tc>
          <w:tcPr>
            <w:tcW w:w="128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(44,403)</w:t>
            </w:r>
          </w:p>
        </w:tc>
        <w:tc>
          <w:tcPr>
            <w:tcW w:w="0" w:type="dxa"/>
            <w:vAlign w:val="bottom"/>
          </w:tcPr>
          <w:p>
            <w:pPr>
              <w:spacing w:after="0"/>
              <w:rPr>
                <w:sz w:val="1"/>
                <w:szCs w:val="1"/>
                <w:color w:val="auto"/>
              </w:rPr>
            </w:pPr>
          </w:p>
        </w:tc>
      </w:tr>
      <w:tr>
        <w:trPr>
          <w:trHeight w:val="198"/>
        </w:trPr>
        <w:tc>
          <w:tcPr>
            <w:tcW w:w="6020" w:type="dxa"/>
            <w:vAlign w:val="bottom"/>
          </w:tcPr>
          <w:p>
            <w:pPr>
              <w:ind w:left="860"/>
              <w:spacing w:after="0" w:line="199" w:lineRule="exact"/>
              <w:rPr>
                <w:sz w:val="20"/>
                <w:szCs w:val="20"/>
                <w:color w:val="auto"/>
              </w:rPr>
            </w:pPr>
            <w:r>
              <w:rPr>
                <w:rFonts w:ascii="Times New Roman" w:cs="Times New Roman" w:eastAsia="Times New Roman" w:hAnsi="Times New Roman"/>
                <w:sz w:val="18"/>
                <w:szCs w:val="18"/>
                <w:color w:val="auto"/>
              </w:rPr>
              <w:t>Increase in accounts receivable</w:t>
            </w:r>
          </w:p>
        </w:tc>
        <w:tc>
          <w:tcPr>
            <w:tcW w:w="100" w:type="dxa"/>
            <w:vAlign w:val="bottom"/>
          </w:tcPr>
          <w:p>
            <w:pPr>
              <w:spacing w:after="0"/>
              <w:rPr>
                <w:sz w:val="17"/>
                <w:szCs w:val="17"/>
                <w:color w:val="auto"/>
              </w:rPr>
            </w:pPr>
          </w:p>
        </w:tc>
        <w:tc>
          <w:tcPr>
            <w:tcW w:w="1660" w:type="dxa"/>
            <w:vAlign w:val="bottom"/>
            <w:gridSpan w:val="2"/>
            <w:vMerge w:val="continue"/>
          </w:tcPr>
          <w:p>
            <w:pPr>
              <w:spacing w:after="0"/>
              <w:rPr>
                <w:sz w:val="17"/>
                <w:szCs w:val="17"/>
                <w:color w:val="auto"/>
              </w:rPr>
            </w:pPr>
          </w:p>
        </w:tc>
        <w:tc>
          <w:tcPr>
            <w:tcW w:w="340" w:type="dxa"/>
            <w:vAlign w:val="bottom"/>
          </w:tcPr>
          <w:p>
            <w:pPr>
              <w:spacing w:after="0"/>
              <w:rPr>
                <w:sz w:val="17"/>
                <w:szCs w:val="17"/>
                <w:color w:val="auto"/>
              </w:rPr>
            </w:pPr>
          </w:p>
        </w:tc>
        <w:tc>
          <w:tcPr>
            <w:tcW w:w="128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0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Increase in inventories</w:t>
            </w:r>
          </w:p>
        </w:tc>
        <w:tc>
          <w:tcPr>
            <w:tcW w:w="100" w:type="dxa"/>
            <w:vAlign w:val="bottom"/>
          </w:tcPr>
          <w:p>
            <w:pPr>
              <w:spacing w:after="0"/>
              <w:rPr>
                <w:sz w:val="19"/>
                <w:szCs w:val="19"/>
                <w:color w:val="auto"/>
              </w:rPr>
            </w:pP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(205)</w:t>
            </w:r>
          </w:p>
        </w:tc>
        <w:tc>
          <w:tcPr>
            <w:tcW w:w="34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60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Increase in prepaid expenses</w:t>
            </w:r>
          </w:p>
        </w:tc>
        <w:tc>
          <w:tcPr>
            <w:tcW w:w="100" w:type="dxa"/>
            <w:vAlign w:val="bottom"/>
          </w:tcPr>
          <w:p>
            <w:pPr>
              <w:spacing w:after="0"/>
              <w:rPr>
                <w:sz w:val="22"/>
                <w:szCs w:val="22"/>
                <w:color w:val="auto"/>
              </w:rPr>
            </w:pP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(11,528)</w:t>
            </w:r>
          </w:p>
        </w:tc>
        <w:tc>
          <w:tcPr>
            <w:tcW w:w="340" w:type="dxa"/>
            <w:vAlign w:val="bottom"/>
          </w:tcPr>
          <w:p>
            <w:pPr>
              <w:spacing w:after="0"/>
              <w:rPr>
                <w:sz w:val="22"/>
                <w:szCs w:val="22"/>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(8,603)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60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Increase in accounts payable and</w:t>
            </w:r>
          </w:p>
        </w:tc>
        <w:tc>
          <w:tcPr>
            <w:tcW w:w="100" w:type="dxa"/>
            <w:vAlign w:val="bottom"/>
          </w:tcPr>
          <w:p>
            <w:pPr>
              <w:spacing w:after="0"/>
              <w:rPr>
                <w:sz w:val="19"/>
                <w:szCs w:val="19"/>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27,783</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10,102</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6020" w:type="dxa"/>
            <w:vAlign w:val="bottom"/>
          </w:tcPr>
          <w:p>
            <w:pPr>
              <w:ind w:left="960"/>
              <w:spacing w:after="0" w:line="199" w:lineRule="exact"/>
              <w:rPr>
                <w:sz w:val="20"/>
                <w:szCs w:val="20"/>
                <w:color w:val="auto"/>
              </w:rPr>
            </w:pPr>
            <w:r>
              <w:rPr>
                <w:rFonts w:ascii="Times New Roman" w:cs="Times New Roman" w:eastAsia="Times New Roman" w:hAnsi="Times New Roman"/>
                <w:sz w:val="18"/>
                <w:szCs w:val="18"/>
                <w:color w:val="auto"/>
              </w:rPr>
              <w:t>other current liabilities</w:t>
            </w:r>
          </w:p>
        </w:tc>
        <w:tc>
          <w:tcPr>
            <w:tcW w:w="100" w:type="dxa"/>
            <w:vAlign w:val="bottom"/>
          </w:tcPr>
          <w:p>
            <w:pPr>
              <w:spacing w:after="0"/>
              <w:rPr>
                <w:sz w:val="17"/>
                <w:szCs w:val="17"/>
                <w:color w:val="auto"/>
              </w:rPr>
            </w:pPr>
          </w:p>
        </w:tc>
        <w:tc>
          <w:tcPr>
            <w:tcW w:w="14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0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Change in current income taxes</w:t>
            </w:r>
          </w:p>
        </w:tc>
        <w:tc>
          <w:tcPr>
            <w:tcW w:w="100" w:type="dxa"/>
            <w:vAlign w:val="bottom"/>
          </w:tcPr>
          <w:p>
            <w:pPr>
              <w:spacing w:after="0"/>
              <w:rPr>
                <w:sz w:val="19"/>
                <w:szCs w:val="19"/>
                <w:color w:val="auto"/>
              </w:rPr>
            </w:pP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(7,685)</w:t>
            </w:r>
          </w:p>
        </w:tc>
        <w:tc>
          <w:tcPr>
            <w:tcW w:w="34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(2,162)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Net change in lease assets and liabilities</w:t>
            </w:r>
          </w:p>
        </w:tc>
        <w:tc>
          <w:tcPr>
            <w:tcW w:w="100" w:type="dxa"/>
            <w:vAlign w:val="bottom"/>
          </w:tcPr>
          <w:p>
            <w:pPr>
              <w:spacing w:after="0"/>
              <w:rPr>
                <w:sz w:val="19"/>
                <w:szCs w:val="19"/>
                <w:color w:val="auto"/>
              </w:rPr>
            </w:pP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(667)</w:t>
            </w:r>
          </w:p>
        </w:tc>
        <w:tc>
          <w:tcPr>
            <w:tcW w:w="340" w:type="dxa"/>
            <w:vAlign w:val="bottom"/>
          </w:tcPr>
          <w:p>
            <w:pPr>
              <w:spacing w:after="0"/>
              <w:rPr>
                <w:sz w:val="19"/>
                <w:szCs w:val="19"/>
                <w:color w:val="auto"/>
              </w:rPr>
            </w:pPr>
          </w:p>
        </w:tc>
        <w:tc>
          <w:tcPr>
            <w:tcW w:w="12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(576)</w:t>
            </w:r>
          </w:p>
        </w:tc>
        <w:tc>
          <w:tcPr>
            <w:tcW w:w="0" w:type="dxa"/>
            <w:vAlign w:val="bottom"/>
          </w:tcPr>
          <w:p>
            <w:pPr>
              <w:spacing w:after="0"/>
              <w:rPr>
                <w:sz w:val="1"/>
                <w:szCs w:val="1"/>
                <w:color w:val="auto"/>
              </w:rPr>
            </w:pPr>
          </w:p>
        </w:tc>
      </w:tr>
      <w:tr>
        <w:trPr>
          <w:trHeight w:val="230"/>
        </w:trPr>
        <w:tc>
          <w:tcPr>
            <w:tcW w:w="60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(Increase)/decrease in other assets</w:t>
            </w:r>
          </w:p>
        </w:tc>
        <w:tc>
          <w:tcPr>
            <w:tcW w:w="100" w:type="dxa"/>
            <w:vAlign w:val="bottom"/>
          </w:tcPr>
          <w:p>
            <w:pPr>
              <w:spacing w:after="0"/>
              <w:rPr>
                <w:sz w:val="19"/>
                <w:szCs w:val="19"/>
                <w:color w:val="auto"/>
              </w:rPr>
            </w:pP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(9,356)</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42,048</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Increase in other liabilities</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6,772</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6,355</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60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Other sources</w:t>
            </w:r>
          </w:p>
        </w:tc>
        <w:tc>
          <w:tcPr>
            <w:tcW w:w="1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840</w:t>
            </w:r>
          </w:p>
        </w:tc>
        <w:tc>
          <w:tcPr>
            <w:tcW w:w="2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0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229,622</w:t>
            </w:r>
          </w:p>
        </w:tc>
        <w:tc>
          <w:tcPr>
            <w:tcW w:w="2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254,739</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6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00" w:type="dxa"/>
            <w:vAlign w:val="bottom"/>
          </w:tcPr>
          <w:p>
            <w:pPr>
              <w:spacing w:after="0"/>
              <w:rPr>
                <w:sz w:val="20"/>
                <w:szCs w:val="20"/>
                <w:color w:val="auto"/>
              </w:rPr>
            </w:pPr>
          </w:p>
        </w:tc>
        <w:tc>
          <w:tcPr>
            <w:tcW w:w="16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(96,050)</w:t>
            </w:r>
          </w:p>
        </w:tc>
        <w:tc>
          <w:tcPr>
            <w:tcW w:w="340" w:type="dxa"/>
            <w:vAlign w:val="bottom"/>
          </w:tcPr>
          <w:p>
            <w:pPr>
              <w:spacing w:after="0"/>
              <w:rPr>
                <w:sz w:val="20"/>
                <w:szCs w:val="20"/>
                <w:color w:val="auto"/>
              </w:rPr>
            </w:pPr>
          </w:p>
        </w:tc>
        <w:tc>
          <w:tcPr>
            <w:tcW w:w="128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198"/>
        </w:trPr>
        <w:tc>
          <w:tcPr>
            <w:tcW w:w="6020" w:type="dxa"/>
            <w:vAlign w:val="bottom"/>
          </w:tcPr>
          <w:p>
            <w:pPr>
              <w:ind w:left="220"/>
              <w:spacing w:after="0" w:line="199" w:lineRule="exact"/>
              <w:rPr>
                <w:sz w:val="20"/>
                <w:szCs w:val="20"/>
                <w:color w:val="auto"/>
              </w:rPr>
            </w:pPr>
            <w:r>
              <w:rPr>
                <w:rFonts w:ascii="Times New Roman" w:cs="Times New Roman" w:eastAsia="Times New Roman" w:hAnsi="Times New Roman"/>
                <w:sz w:val="18"/>
                <w:szCs w:val="18"/>
                <w:color w:val="auto"/>
              </w:rPr>
              <w:t>Business combinations, net of cash acquired</w:t>
            </w:r>
          </w:p>
        </w:tc>
        <w:tc>
          <w:tcPr>
            <w:tcW w:w="100" w:type="dxa"/>
            <w:vAlign w:val="bottom"/>
          </w:tcPr>
          <w:p>
            <w:pPr>
              <w:spacing w:after="0"/>
              <w:rPr>
                <w:sz w:val="17"/>
                <w:szCs w:val="17"/>
                <w:color w:val="auto"/>
              </w:rPr>
            </w:pPr>
          </w:p>
        </w:tc>
        <w:tc>
          <w:tcPr>
            <w:tcW w:w="1660" w:type="dxa"/>
            <w:vAlign w:val="bottom"/>
            <w:gridSpan w:val="2"/>
            <w:vMerge w:val="continue"/>
          </w:tcPr>
          <w:p>
            <w:pPr>
              <w:spacing w:after="0"/>
              <w:rPr>
                <w:sz w:val="17"/>
                <w:szCs w:val="17"/>
                <w:color w:val="auto"/>
              </w:rPr>
            </w:pPr>
          </w:p>
        </w:tc>
        <w:tc>
          <w:tcPr>
            <w:tcW w:w="340" w:type="dxa"/>
            <w:vAlign w:val="bottom"/>
          </w:tcPr>
          <w:p>
            <w:pPr>
              <w:spacing w:after="0"/>
              <w:rPr>
                <w:sz w:val="17"/>
                <w:szCs w:val="17"/>
                <w:color w:val="auto"/>
              </w:rPr>
            </w:pPr>
          </w:p>
        </w:tc>
        <w:tc>
          <w:tcPr>
            <w:tcW w:w="128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Capital expenditures</w:t>
            </w:r>
          </w:p>
        </w:tc>
        <w:tc>
          <w:tcPr>
            <w:tcW w:w="100" w:type="dxa"/>
            <w:vAlign w:val="bottom"/>
          </w:tcPr>
          <w:p>
            <w:pPr>
              <w:spacing w:after="0"/>
              <w:rPr>
                <w:sz w:val="19"/>
                <w:szCs w:val="19"/>
                <w:color w:val="auto"/>
              </w:rPr>
            </w:pP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(51,355)</w:t>
            </w:r>
          </w:p>
        </w:tc>
        <w:tc>
          <w:tcPr>
            <w:tcW w:w="340" w:type="dxa"/>
            <w:vAlign w:val="bottom"/>
          </w:tcPr>
          <w:p>
            <w:pPr>
              <w:spacing w:after="0"/>
              <w:rPr>
                <w:sz w:val="19"/>
                <w:szCs w:val="19"/>
                <w:color w:val="auto"/>
              </w:rPr>
            </w:pPr>
          </w:p>
        </w:tc>
        <w:tc>
          <w:tcPr>
            <w:tcW w:w="12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(46,447)</w:t>
            </w:r>
          </w:p>
        </w:tc>
        <w:tc>
          <w:tcPr>
            <w:tcW w:w="0" w:type="dxa"/>
            <w:vAlign w:val="bottom"/>
          </w:tcPr>
          <w:p>
            <w:pPr>
              <w:spacing w:after="0"/>
              <w:rPr>
                <w:sz w:val="1"/>
                <w:szCs w:val="1"/>
                <w:color w:val="auto"/>
              </w:rPr>
            </w:pPr>
          </w:p>
        </w:tc>
      </w:tr>
      <w:tr>
        <w:trPr>
          <w:trHeight w:val="230"/>
        </w:trPr>
        <w:tc>
          <w:tcPr>
            <w:tcW w:w="6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Proceeds from sale of fixed assets</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488</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3,751</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6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uses</w:t>
            </w:r>
          </w:p>
        </w:tc>
        <w:tc>
          <w:tcPr>
            <w:tcW w:w="100" w:type="dxa"/>
            <w:vAlign w:val="bottom"/>
          </w:tcPr>
          <w:p>
            <w:pPr>
              <w:spacing w:after="0"/>
              <w:rPr>
                <w:sz w:val="20"/>
                <w:szCs w:val="20"/>
                <w:color w:val="auto"/>
              </w:rPr>
            </w:pP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(502)</w:t>
            </w:r>
          </w:p>
        </w:tc>
        <w:tc>
          <w:tcPr>
            <w:tcW w:w="340" w:type="dxa"/>
            <w:vAlign w:val="bottom"/>
          </w:tcPr>
          <w:p>
            <w:pPr>
              <w:spacing w:after="0"/>
              <w:rPr>
                <w:sz w:val="20"/>
                <w:szCs w:val="20"/>
                <w:color w:val="auto"/>
              </w:rPr>
            </w:pPr>
          </w:p>
        </w:tc>
        <w:tc>
          <w:tcPr>
            <w:tcW w:w="12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(468)</w:t>
            </w:r>
          </w:p>
        </w:tc>
        <w:tc>
          <w:tcPr>
            <w:tcW w:w="0" w:type="dxa"/>
            <w:vAlign w:val="bottom"/>
          </w:tcPr>
          <w:p>
            <w:pPr>
              <w:spacing w:after="0"/>
              <w:rPr>
                <w:sz w:val="1"/>
                <w:szCs w:val="1"/>
                <w:color w:val="auto"/>
              </w:rPr>
            </w:pPr>
          </w:p>
        </w:tc>
      </w:tr>
      <w:tr>
        <w:trPr>
          <w:trHeight w:val="210"/>
        </w:trPr>
        <w:tc>
          <w:tcPr>
            <w:tcW w:w="60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Net cash used by investing activities</w:t>
            </w:r>
          </w:p>
        </w:tc>
        <w:tc>
          <w:tcPr>
            <w:tcW w:w="10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(147,419)</w:t>
            </w:r>
          </w:p>
        </w:tc>
        <w:tc>
          <w:tcPr>
            <w:tcW w:w="2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(43,389)</w:t>
            </w:r>
          </w:p>
        </w:tc>
        <w:tc>
          <w:tcPr>
            <w:tcW w:w="0" w:type="dxa"/>
            <w:vAlign w:val="bottom"/>
          </w:tcPr>
          <w:p>
            <w:pPr>
              <w:spacing w:after="0"/>
              <w:rPr>
                <w:sz w:val="1"/>
                <w:szCs w:val="1"/>
                <w:color w:val="auto"/>
              </w:rPr>
            </w:pPr>
          </w:p>
        </w:tc>
      </w:tr>
      <w:tr>
        <w:trPr>
          <w:trHeight w:val="232"/>
        </w:trPr>
        <w:tc>
          <w:tcPr>
            <w:tcW w:w="6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0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843,280</w:t>
            </w:r>
          </w:p>
        </w:tc>
        <w:tc>
          <w:tcPr>
            <w:tcW w:w="2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6020" w:type="dxa"/>
            <w:vAlign w:val="bottom"/>
          </w:tcPr>
          <w:p>
            <w:pPr>
              <w:ind w:left="220"/>
              <w:spacing w:after="0" w:line="199" w:lineRule="exact"/>
              <w:rPr>
                <w:sz w:val="20"/>
                <w:szCs w:val="20"/>
                <w:color w:val="auto"/>
              </w:rPr>
            </w:pPr>
            <w:r>
              <w:rPr>
                <w:rFonts w:ascii="Times New Roman" w:cs="Times New Roman" w:eastAsia="Times New Roman" w:hAnsi="Times New Roman"/>
                <w:sz w:val="18"/>
                <w:szCs w:val="18"/>
                <w:color w:val="auto"/>
              </w:rPr>
              <w:t>Proceeds from revolving line of credit</w:t>
            </w:r>
          </w:p>
        </w:tc>
        <w:tc>
          <w:tcPr>
            <w:tcW w:w="100" w:type="dxa"/>
            <w:vAlign w:val="bottom"/>
          </w:tcPr>
          <w:p>
            <w:pPr>
              <w:spacing w:after="0"/>
              <w:rPr>
                <w:sz w:val="17"/>
                <w:szCs w:val="17"/>
                <w:color w:val="auto"/>
              </w:rPr>
            </w:pPr>
          </w:p>
        </w:tc>
        <w:tc>
          <w:tcPr>
            <w:tcW w:w="14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jc w:val="right"/>
              <w:spacing w:after="0" w:line="199"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Payments on revolving line of credit</w:t>
            </w:r>
          </w:p>
        </w:tc>
        <w:tc>
          <w:tcPr>
            <w:tcW w:w="100" w:type="dxa"/>
            <w:vAlign w:val="bottom"/>
          </w:tcPr>
          <w:p>
            <w:pPr>
              <w:spacing w:after="0"/>
              <w:rPr>
                <w:sz w:val="19"/>
                <w:szCs w:val="19"/>
                <w:color w:val="auto"/>
              </w:rPr>
            </w:pP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(607,280)</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Purchases of treasury stock</w:t>
            </w:r>
          </w:p>
        </w:tc>
        <w:tc>
          <w:tcPr>
            <w:tcW w:w="100" w:type="dxa"/>
            <w:vAlign w:val="bottom"/>
          </w:tcPr>
          <w:p>
            <w:pPr>
              <w:spacing w:after="0"/>
              <w:rPr>
                <w:sz w:val="19"/>
                <w:szCs w:val="19"/>
                <w:color w:val="auto"/>
              </w:rPr>
            </w:pP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(350,042)</w:t>
            </w:r>
          </w:p>
        </w:tc>
        <w:tc>
          <w:tcPr>
            <w:tcW w:w="34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(256,944)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30,281</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27,152</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Dividends paid</w:t>
            </w:r>
          </w:p>
        </w:tc>
        <w:tc>
          <w:tcPr>
            <w:tcW w:w="100" w:type="dxa"/>
            <w:vAlign w:val="bottom"/>
          </w:tcPr>
          <w:p>
            <w:pPr>
              <w:spacing w:after="0"/>
              <w:rPr>
                <w:sz w:val="19"/>
                <w:szCs w:val="19"/>
                <w:color w:val="auto"/>
              </w:rPr>
            </w:pP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(25,234)</w:t>
            </w:r>
          </w:p>
        </w:tc>
        <w:tc>
          <w:tcPr>
            <w:tcW w:w="340" w:type="dxa"/>
            <w:vAlign w:val="bottom"/>
          </w:tcPr>
          <w:p>
            <w:pPr>
              <w:spacing w:after="0"/>
              <w:rPr>
                <w:sz w:val="19"/>
                <w:szCs w:val="19"/>
                <w:color w:val="auto"/>
              </w:rPr>
            </w:pPr>
          </w:p>
        </w:tc>
        <w:tc>
          <w:tcPr>
            <w:tcW w:w="12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(23,196)</w:t>
            </w:r>
          </w:p>
        </w:tc>
        <w:tc>
          <w:tcPr>
            <w:tcW w:w="0" w:type="dxa"/>
            <w:vAlign w:val="bottom"/>
          </w:tcPr>
          <w:p>
            <w:pPr>
              <w:spacing w:after="0"/>
              <w:rPr>
                <w:sz w:val="1"/>
                <w:szCs w:val="1"/>
                <w:color w:val="auto"/>
              </w:rPr>
            </w:pPr>
          </w:p>
        </w:tc>
      </w:tr>
      <w:tr>
        <w:trPr>
          <w:trHeight w:val="230"/>
        </w:trPr>
        <w:tc>
          <w:tcPr>
            <w:tcW w:w="6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 in cash overdrafts payable</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6,818</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Capital stock surrendered to pay taxes on stock-based compensation</w:t>
            </w:r>
          </w:p>
        </w:tc>
        <w:tc>
          <w:tcPr>
            <w:tcW w:w="100" w:type="dxa"/>
            <w:vAlign w:val="bottom"/>
          </w:tcPr>
          <w:p>
            <w:pPr>
              <w:spacing w:after="0"/>
              <w:rPr>
                <w:sz w:val="19"/>
                <w:szCs w:val="19"/>
                <w:color w:val="auto"/>
              </w:rPr>
            </w:pP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(3,832)</w:t>
            </w:r>
          </w:p>
        </w:tc>
        <w:tc>
          <w:tcPr>
            <w:tcW w:w="34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(8,484)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Debt issuance costs</w:t>
            </w:r>
          </w:p>
        </w:tc>
        <w:tc>
          <w:tcPr>
            <w:tcW w:w="100" w:type="dxa"/>
            <w:vAlign w:val="bottom"/>
          </w:tcPr>
          <w:p>
            <w:pPr>
              <w:spacing w:after="0"/>
              <w:rPr>
                <w:sz w:val="19"/>
                <w:szCs w:val="19"/>
                <w:color w:val="auto"/>
              </w:rPr>
            </w:pP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(1,349)</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6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(uses)/sources</w:t>
            </w:r>
          </w:p>
        </w:tc>
        <w:tc>
          <w:tcPr>
            <w:tcW w:w="100" w:type="dxa"/>
            <w:vAlign w:val="bottom"/>
          </w:tcPr>
          <w:p>
            <w:pPr>
              <w:spacing w:after="0"/>
              <w:rPr>
                <w:sz w:val="20"/>
                <w:szCs w:val="20"/>
                <w:color w:val="auto"/>
              </w:rPr>
            </w:pP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(933)</w:t>
            </w:r>
          </w:p>
        </w:tc>
        <w:tc>
          <w:tcPr>
            <w:tcW w:w="3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0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Net cash used by financing activities</w:t>
            </w:r>
          </w:p>
        </w:tc>
        <w:tc>
          <w:tcPr>
            <w:tcW w:w="10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(108,291)</w:t>
            </w:r>
          </w:p>
        </w:tc>
        <w:tc>
          <w:tcPr>
            <w:tcW w:w="22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(259,948)</w:t>
            </w:r>
          </w:p>
        </w:tc>
        <w:tc>
          <w:tcPr>
            <w:tcW w:w="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6020" w:type="dxa"/>
            <w:vAlign w:val="bottom"/>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Decrease in Cash and Cash Equivalents</w:t>
            </w:r>
          </w:p>
        </w:tc>
        <w:tc>
          <w:tcPr>
            <w:tcW w:w="100" w:type="dxa"/>
            <w:vAlign w:val="bottom"/>
          </w:tcPr>
          <w:p>
            <w:pPr>
              <w:spacing w:after="0"/>
              <w:rPr>
                <w:sz w:val="17"/>
                <w:szCs w:val="17"/>
                <w:color w:val="auto"/>
              </w:rPr>
            </w:pPr>
          </w:p>
        </w:tc>
        <w:tc>
          <w:tcPr>
            <w:tcW w:w="144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b w:val="1"/>
                <w:bCs w:val="1"/>
                <w:color w:val="auto"/>
              </w:rPr>
              <w:t>(26,088)</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gridSpan w:val="2"/>
          </w:tcPr>
          <w:p>
            <w:pPr>
              <w:jc w:val="right"/>
              <w:ind w:right="20"/>
              <w:spacing w:after="0" w:line="201" w:lineRule="exact"/>
              <w:rPr>
                <w:sz w:val="20"/>
                <w:szCs w:val="20"/>
                <w:color w:val="auto"/>
              </w:rPr>
            </w:pPr>
            <w:r>
              <w:rPr>
                <w:rFonts w:ascii="Times New Roman" w:cs="Times New Roman" w:eastAsia="Times New Roman" w:hAnsi="Times New Roman"/>
                <w:sz w:val="18"/>
                <w:szCs w:val="18"/>
                <w:color w:val="auto"/>
              </w:rPr>
              <w:t>(48,598)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year</w:t>
            </w:r>
          </w:p>
        </w:tc>
        <w:tc>
          <w:tcPr>
            <w:tcW w:w="1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74,515</w:t>
            </w:r>
          </w:p>
        </w:tc>
        <w:tc>
          <w:tcPr>
            <w:tcW w:w="2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178,350</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48,427</w:t>
            </w:r>
          </w:p>
        </w:tc>
        <w:tc>
          <w:tcPr>
            <w:tcW w:w="220" w:type="dxa"/>
            <w:vAlign w:val="bottom"/>
          </w:tcPr>
          <w:p>
            <w:pPr>
              <w:spacing w:after="0"/>
              <w:rPr>
                <w:sz w:val="18"/>
                <w:szCs w:val="18"/>
                <w:color w:val="auto"/>
              </w:rPr>
            </w:pPr>
          </w:p>
        </w:tc>
        <w:tc>
          <w:tcPr>
            <w:tcW w:w="3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129,752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60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2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44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340" w:type="dxa"/>
            <w:vAlign w:val="bottom"/>
            <w:tcBorders>
              <w:bottom w:val="single" w:sz="8" w:color="EEEEEE"/>
            </w:tcBorders>
          </w:tcPr>
          <w:p>
            <w:pPr>
              <w:spacing w:after="0" w:line="20" w:lineRule="exact"/>
              <w:rPr>
                <w:sz w:val="1"/>
                <w:szCs w:val="1"/>
                <w:color w:val="auto"/>
              </w:rPr>
            </w:pPr>
          </w:p>
        </w:tc>
        <w:tc>
          <w:tcPr>
            <w:tcW w:w="124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5951220</wp:posOffset>
            </wp:positionH>
            <wp:positionV relativeFrom="paragraph">
              <wp:posOffset>-37465</wp:posOffset>
            </wp:positionV>
            <wp:extent cx="34290" cy="508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5080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-37465</wp:posOffset>
            </wp:positionV>
            <wp:extent cx="33655" cy="508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50800"/>
                    </a:xfrm>
                    <a:prstGeom prst="rect">
                      <a:avLst/>
                    </a:prstGeom>
                    <a:noFill/>
                  </pic:spPr>
                </pic:pic>
              </a:graphicData>
            </a:graphic>
          </wp:anchor>
        </w:drawing>
      </w:r>
    </w:p>
    <w:p>
      <w:pPr>
        <w:sectPr>
          <w:pgSz w:w="11900" w:h="16838" w:orient="portrait"/>
          <w:cols w:equalWidth="0" w:num="1">
            <w:col w:w="9479"/>
          </w:cols>
          <w:pgMar w:left="980" w:top="225" w:right="1440"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57"/>
        </w:trPr>
        <w:tc>
          <w:tcPr>
            <w:tcW w:w="7400" w:type="dxa"/>
            <w:vAlign w:val="bottom"/>
            <w:gridSpan w:val="11"/>
          </w:tcPr>
          <w:p>
            <w:pPr>
              <w:jc w:val="center"/>
              <w:ind w:left="1861"/>
              <w:spacing w:after="0"/>
              <w:rPr>
                <w:sz w:val="20"/>
                <w:szCs w:val="20"/>
                <w:color w:val="auto"/>
              </w:rPr>
            </w:pPr>
            <w:r>
              <w:rPr>
                <w:rFonts w:ascii="Times New Roman" w:cs="Times New Roman" w:eastAsia="Times New Roman" w:hAnsi="Times New Roman"/>
                <w:sz w:val="20"/>
                <w:szCs w:val="20"/>
                <w:b w:val="1"/>
                <w:bCs w:val="1"/>
                <w:color w:val="auto"/>
                <w:w w:val="97"/>
              </w:rPr>
              <w:t>CHEMED CORPORATION AND SUBSIDIARY COMPANIES</w:t>
            </w: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120" w:type="dxa"/>
            <w:vAlign w:val="bottom"/>
            <w:gridSpan w:val="9"/>
          </w:tcPr>
          <w:p>
            <w:pPr>
              <w:jc w:val="center"/>
              <w:ind w:left="2141"/>
              <w:spacing w:after="0"/>
              <w:rPr>
                <w:sz w:val="20"/>
                <w:szCs w:val="20"/>
                <w:color w:val="auto"/>
              </w:rPr>
            </w:pPr>
            <w:r>
              <w:rPr>
                <w:rFonts w:ascii="Times New Roman" w:cs="Times New Roman" w:eastAsia="Times New Roman" w:hAnsi="Times New Roman"/>
                <w:sz w:val="20"/>
                <w:szCs w:val="20"/>
                <w:b w:val="1"/>
                <w:bCs w:val="1"/>
                <w:color w:val="auto"/>
                <w:w w:val="98"/>
              </w:rPr>
              <w:t>CONSOLIDATING STATEMENTS OF INCOME</w:t>
            </w: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8200" w:type="dxa"/>
            <w:vAlign w:val="bottom"/>
            <w:gridSpan w:val="13"/>
          </w:tcPr>
          <w:p>
            <w:pPr>
              <w:jc w:val="center"/>
              <w:ind w:left="1061"/>
              <w:spacing w:after="0"/>
              <w:rPr>
                <w:sz w:val="20"/>
                <w:szCs w:val="20"/>
                <w:color w:val="auto"/>
              </w:rPr>
            </w:pPr>
            <w:r>
              <w:rPr>
                <w:rFonts w:ascii="Times New Roman" w:cs="Times New Roman" w:eastAsia="Times New Roman" w:hAnsi="Times New Roman"/>
                <w:sz w:val="20"/>
                <w:szCs w:val="20"/>
                <w:b w:val="1"/>
                <w:bCs w:val="1"/>
                <w:color w:val="auto"/>
                <w:w w:val="99"/>
              </w:rPr>
              <w:t>FOR THE THREE MONTHS ENDED SEPTEMBER 30, 2026 AND 2025</w:t>
            </w:r>
          </w:p>
        </w:tc>
        <w:tc>
          <w:tcPr>
            <w:tcW w:w="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580" w:type="dxa"/>
            <w:vAlign w:val="bottom"/>
          </w:tcPr>
          <w:p>
            <w:pPr>
              <w:spacing w:after="0"/>
              <w:rPr>
                <w:sz w:val="23"/>
                <w:szCs w:val="23"/>
                <w:color w:val="auto"/>
              </w:rPr>
            </w:pPr>
          </w:p>
        </w:tc>
        <w:tc>
          <w:tcPr>
            <w:tcW w:w="2320" w:type="dxa"/>
            <w:vAlign w:val="bottom"/>
            <w:gridSpan w:val="4"/>
          </w:tcPr>
          <w:p>
            <w:pPr>
              <w:jc w:val="center"/>
              <w:ind w:right="120"/>
              <w:spacing w:after="0"/>
              <w:rPr>
                <w:sz w:val="20"/>
                <w:szCs w:val="20"/>
                <w:color w:val="auto"/>
              </w:rPr>
            </w:pPr>
            <w:r>
              <w:rPr>
                <w:rFonts w:ascii="Times New Roman" w:cs="Times New Roman" w:eastAsia="Times New Roman" w:hAnsi="Times New Roman"/>
                <w:sz w:val="20"/>
                <w:szCs w:val="20"/>
                <w:color w:val="auto"/>
                <w:w w:val="98"/>
              </w:rPr>
              <w:t>(in thousands)(unaudited)</w:t>
            </w: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5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121"/>
              <w:spacing w:after="0"/>
              <w:rPr>
                <w:sz w:val="20"/>
                <w:szCs w:val="20"/>
                <w:color w:val="auto"/>
              </w:rPr>
            </w:pPr>
            <w:r>
              <w:rPr>
                <w:rFonts w:ascii="Times New Roman" w:cs="Times New Roman" w:eastAsia="Times New Roman" w:hAnsi="Times New Roman"/>
                <w:sz w:val="20"/>
                <w:szCs w:val="20"/>
                <w:b w:val="1"/>
                <w:bCs w:val="1"/>
                <w:color w:val="auto"/>
              </w:rPr>
              <w:t>Chemed</w:t>
            </w:r>
          </w:p>
        </w:tc>
        <w:tc>
          <w:tcPr>
            <w:tcW w:w="0" w:type="dxa"/>
            <w:vAlign w:val="bottom"/>
          </w:tcPr>
          <w:p>
            <w:pPr>
              <w:spacing w:after="0"/>
              <w:rPr>
                <w:sz w:val="1"/>
                <w:szCs w:val="1"/>
                <w:color w:val="auto"/>
              </w:rPr>
            </w:pPr>
          </w:p>
        </w:tc>
      </w:tr>
      <w:tr>
        <w:trPr>
          <w:trHeight w:val="251"/>
        </w:trPr>
        <w:tc>
          <w:tcPr>
            <w:tcW w:w="35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480"/>
              <w:spacing w:after="0"/>
              <w:rPr>
                <w:sz w:val="20"/>
                <w:szCs w:val="20"/>
                <w:color w:val="auto"/>
              </w:rPr>
            </w:pPr>
            <w:r>
              <w:rPr>
                <w:rFonts w:ascii="Times New Roman" w:cs="Times New Roman" w:eastAsia="Times New Roman" w:hAnsi="Times New Roman"/>
                <w:sz w:val="20"/>
                <w:szCs w:val="20"/>
                <w:b w:val="1"/>
                <w:bCs w:val="1"/>
                <w:color w:val="auto"/>
              </w:rPr>
              <w:t>VITAS</w:t>
            </w:r>
          </w:p>
        </w:tc>
        <w:tc>
          <w:tcPr>
            <w:tcW w:w="40" w:type="dxa"/>
            <w:vAlign w:val="bottom"/>
          </w:tcPr>
          <w:p>
            <w:pPr>
              <w:spacing w:after="0"/>
              <w:rPr>
                <w:sz w:val="21"/>
                <w:szCs w:val="21"/>
                <w:color w:val="auto"/>
              </w:rPr>
            </w:pPr>
          </w:p>
        </w:tc>
        <w:tc>
          <w:tcPr>
            <w:tcW w:w="1180" w:type="dxa"/>
            <w:vAlign w:val="bottom"/>
            <w:gridSpan w:val="3"/>
          </w:tcPr>
          <w:p>
            <w:pPr>
              <w:ind w:left="40"/>
              <w:spacing w:after="0"/>
              <w:rPr>
                <w:sz w:val="20"/>
                <w:szCs w:val="20"/>
                <w:color w:val="auto"/>
              </w:rPr>
            </w:pPr>
            <w:r>
              <w:rPr>
                <w:rFonts w:ascii="Times New Roman" w:cs="Times New Roman" w:eastAsia="Times New Roman" w:hAnsi="Times New Roman"/>
                <w:sz w:val="20"/>
                <w:szCs w:val="20"/>
                <w:b w:val="1"/>
                <w:bCs w:val="1"/>
                <w:color w:val="auto"/>
              </w:rPr>
              <w:t>Roto-Rooter</w:t>
            </w:r>
          </w:p>
        </w:tc>
        <w:tc>
          <w:tcPr>
            <w:tcW w:w="40" w:type="dxa"/>
            <w:vAlign w:val="bottom"/>
          </w:tcPr>
          <w:p>
            <w:pPr>
              <w:spacing w:after="0"/>
              <w:rPr>
                <w:sz w:val="21"/>
                <w:szCs w:val="21"/>
                <w:color w:val="auto"/>
              </w:rPr>
            </w:pPr>
          </w:p>
        </w:tc>
        <w:tc>
          <w:tcPr>
            <w:tcW w:w="1040" w:type="dxa"/>
            <w:vAlign w:val="bottom"/>
            <w:gridSpan w:val="3"/>
          </w:tcPr>
          <w:p>
            <w:pPr>
              <w:ind w:left="40"/>
              <w:spacing w:after="0"/>
              <w:rPr>
                <w:sz w:val="20"/>
                <w:szCs w:val="20"/>
                <w:color w:val="auto"/>
              </w:rPr>
            </w:pPr>
            <w:r>
              <w:rPr>
                <w:rFonts w:ascii="Times New Roman" w:cs="Times New Roman" w:eastAsia="Times New Roman" w:hAnsi="Times New Roman"/>
                <w:sz w:val="20"/>
                <w:szCs w:val="20"/>
                <w:b w:val="1"/>
                <w:bCs w:val="1"/>
                <w:color w:val="auto"/>
              </w:rPr>
              <w:t>Corporate</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w w:val="99"/>
              </w:rPr>
              <w:t>Consolidated</w:t>
            </w:r>
          </w:p>
        </w:tc>
        <w:tc>
          <w:tcPr>
            <w:tcW w:w="0" w:type="dxa"/>
            <w:vAlign w:val="bottom"/>
          </w:tcPr>
          <w:p>
            <w:pPr>
              <w:spacing w:after="0"/>
              <w:rPr>
                <w:sz w:val="1"/>
                <w:szCs w:val="1"/>
                <w:color w:val="auto"/>
              </w:rPr>
            </w:pPr>
          </w:p>
        </w:tc>
      </w:tr>
      <w:tr>
        <w:trPr>
          <w:trHeight w:val="250"/>
        </w:trPr>
        <w:tc>
          <w:tcPr>
            <w:tcW w:w="3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rPr>
              <w:t>2026 (a)</w:t>
            </w:r>
          </w:p>
        </w:tc>
        <w:tc>
          <w:tcPr>
            <w:tcW w:w="840" w:type="dxa"/>
            <w:vAlign w:val="bottom"/>
            <w:tcBorders>
              <w:bottom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160" w:type="dxa"/>
            <w:vAlign w:val="bottom"/>
            <w:tcBorders>
              <w:top w:val="single" w:sz="8" w:color="auto"/>
              <w:bottom w:val="single" w:sz="8" w:color="auto"/>
            </w:tcBorders>
            <w:vMerge w:val="restart"/>
          </w:tcPr>
          <w:p>
            <w:pPr>
              <w:jc w:val="right"/>
              <w:spacing w:after="0"/>
              <w:rPr>
                <w:sz w:val="20"/>
                <w:szCs w:val="20"/>
                <w:color w:val="auto"/>
              </w:rPr>
            </w:pPr>
            <w:r>
              <w:rPr>
                <w:rFonts w:ascii="Times New Roman" w:cs="Times New Roman" w:eastAsia="Times New Roman" w:hAnsi="Times New Roman"/>
                <w:sz w:val="20"/>
                <w:szCs w:val="20"/>
                <w:color w:val="auto"/>
              </w:rPr>
              <w:t>457,403</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860" w:type="dxa"/>
            <w:vAlign w:val="bottom"/>
            <w:tcBorders>
              <w:top w:val="single" w:sz="8" w:color="auto"/>
              <w:bottom w:val="single" w:sz="8" w:color="auto"/>
            </w:tcBorders>
            <w:vMerge w:val="restart"/>
          </w:tcPr>
          <w:p>
            <w:pPr>
              <w:jc w:val="right"/>
              <w:spacing w:after="0"/>
              <w:rPr>
                <w:sz w:val="20"/>
                <w:szCs w:val="20"/>
                <w:color w:val="auto"/>
              </w:rPr>
            </w:pPr>
            <w:r>
              <w:rPr>
                <w:rFonts w:ascii="Times New Roman" w:cs="Times New Roman" w:eastAsia="Times New Roman" w:hAnsi="Times New Roman"/>
                <w:sz w:val="20"/>
                <w:szCs w:val="20"/>
                <w:color w:val="auto"/>
              </w:rPr>
              <w:t>233,537</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00" w:type="dxa"/>
            <w:vAlign w:val="bottom"/>
            <w:tcBorders>
              <w:top w:val="single" w:sz="8" w:color="auto"/>
              <w:bottom w:val="single" w:sz="8" w:color="auto"/>
            </w:tcBorders>
            <w:vMerge w:val="restart"/>
          </w:tcPr>
          <w:p>
            <w:pPr>
              <w:jc w:val="right"/>
              <w:spacing w:after="0"/>
              <w:rPr>
                <w:sz w:val="20"/>
                <w:szCs w:val="20"/>
                <w:color w:val="auto"/>
              </w:rPr>
            </w:pPr>
            <w:r>
              <w:rPr>
                <w:rFonts w:ascii="Times New Roman" w:cs="Times New Roman" w:eastAsia="Times New Roman" w:hAnsi="Times New Roman"/>
                <w:sz w:val="20"/>
                <w:szCs w:val="20"/>
                <w:color w:val="auto"/>
              </w:rPr>
              <w:t>690,940</w:t>
            </w:r>
          </w:p>
        </w:tc>
        <w:tc>
          <w:tcPr>
            <w:tcW w:w="0" w:type="dxa"/>
            <w:vAlign w:val="bottom"/>
          </w:tcPr>
          <w:p>
            <w:pPr>
              <w:spacing w:after="0"/>
              <w:rPr>
                <w:sz w:val="1"/>
                <w:szCs w:val="1"/>
                <w:color w:val="auto"/>
              </w:rPr>
            </w:pPr>
          </w:p>
        </w:tc>
      </w:tr>
      <w:tr>
        <w:trPr>
          <w:trHeight w:val="250"/>
        </w:trPr>
        <w:tc>
          <w:tcPr>
            <w:tcW w:w="3580" w:type="dxa"/>
            <w:vAlign w:val="bottom"/>
          </w:tcPr>
          <w:p>
            <w:pPr>
              <w:spacing w:after="0"/>
              <w:rPr>
                <w:sz w:val="20"/>
                <w:szCs w:val="20"/>
                <w:color w:val="auto"/>
              </w:rPr>
            </w:pPr>
            <w:r>
              <w:rPr>
                <w:rFonts w:ascii="Times New Roman" w:cs="Times New Roman" w:eastAsia="Times New Roman" w:hAnsi="Times New Roman"/>
                <w:sz w:val="20"/>
                <w:szCs w:val="20"/>
                <w:color w:val="auto"/>
              </w:rPr>
              <w:t>Service revenues and sales</w:t>
            </w:r>
          </w:p>
        </w:tc>
        <w:tc>
          <w:tcPr>
            <w:tcW w:w="840" w:type="dxa"/>
            <w:vAlign w:val="bottom"/>
          </w:tcPr>
          <w:p>
            <w:pPr>
              <w:spacing w:after="0"/>
              <w:rPr>
                <w:sz w:val="21"/>
                <w:szCs w:val="21"/>
                <w:color w:val="auto"/>
              </w:rPr>
            </w:pPr>
          </w:p>
        </w:tc>
        <w:tc>
          <w:tcPr>
            <w:tcW w:w="26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bottom w:val="single" w:sz="8" w:color="auto"/>
            </w:tcBorders>
            <w:vMerge w:val="continue"/>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20"/>
                <w:szCs w:val="20"/>
                <w:color w:val="auto"/>
                <w:w w:val="79"/>
              </w:rPr>
              <w:t>$</w:t>
            </w:r>
          </w:p>
        </w:tc>
        <w:tc>
          <w:tcPr>
            <w:tcW w:w="860" w:type="dxa"/>
            <w:vAlign w:val="bottom"/>
            <w:tcBorders>
              <w:bottom w:val="single" w:sz="8" w:color="auto"/>
            </w:tcBorders>
            <w:vMerge w:val="continue"/>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20"/>
                <w:szCs w:val="20"/>
                <w:color w:val="auto"/>
                <w:w w:val="7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68"/>
        </w:trPr>
        <w:tc>
          <w:tcPr>
            <w:tcW w:w="3580" w:type="dxa"/>
            <w:vAlign w:val="bottom"/>
          </w:tcPr>
          <w:p>
            <w:pPr>
              <w:spacing w:after="0"/>
              <w:rPr>
                <w:sz w:val="20"/>
                <w:szCs w:val="20"/>
                <w:color w:val="auto"/>
              </w:rPr>
            </w:pPr>
            <w:r>
              <w:rPr>
                <w:rFonts w:ascii="Times New Roman" w:cs="Times New Roman" w:eastAsia="Times New Roman" w:hAnsi="Times New Roman"/>
                <w:sz w:val="20"/>
                <w:szCs w:val="20"/>
                <w:color w:val="auto"/>
              </w:rPr>
              <w:t>Cost of services provided and goods sold</w:t>
            </w:r>
          </w:p>
        </w:tc>
        <w:tc>
          <w:tcPr>
            <w:tcW w:w="8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341,993</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115,985</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457,978</w:t>
            </w:r>
          </w:p>
        </w:tc>
        <w:tc>
          <w:tcPr>
            <w:tcW w:w="0" w:type="dxa"/>
            <w:vAlign w:val="bottom"/>
          </w:tcPr>
          <w:p>
            <w:pPr>
              <w:spacing w:after="0"/>
              <w:rPr>
                <w:sz w:val="1"/>
                <w:szCs w:val="1"/>
                <w:color w:val="auto"/>
              </w:rPr>
            </w:pPr>
          </w:p>
        </w:tc>
      </w:tr>
      <w:tr>
        <w:trPr>
          <w:trHeight w:val="270"/>
        </w:trPr>
        <w:tc>
          <w:tcPr>
            <w:tcW w:w="3580" w:type="dxa"/>
            <w:vAlign w:val="bottom"/>
          </w:tcPr>
          <w:p>
            <w:pPr>
              <w:spacing w:after="0"/>
              <w:rPr>
                <w:sz w:val="20"/>
                <w:szCs w:val="20"/>
                <w:color w:val="auto"/>
              </w:rPr>
            </w:pPr>
            <w:r>
              <w:rPr>
                <w:rFonts w:ascii="Times New Roman" w:cs="Times New Roman" w:eastAsia="Times New Roman" w:hAnsi="Times New Roman"/>
                <w:sz w:val="20"/>
                <w:szCs w:val="20"/>
                <w:color w:val="auto"/>
                <w:w w:val="99"/>
              </w:rPr>
              <w:t>Selling, general and administrative expenses</w:t>
            </w:r>
          </w:p>
        </w:tc>
        <w:tc>
          <w:tcPr>
            <w:tcW w:w="8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23,100</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71,033</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17,336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111,469</w:t>
            </w:r>
          </w:p>
        </w:tc>
        <w:tc>
          <w:tcPr>
            <w:tcW w:w="0" w:type="dxa"/>
            <w:vAlign w:val="bottom"/>
          </w:tcPr>
          <w:p>
            <w:pPr>
              <w:spacing w:after="0"/>
              <w:rPr>
                <w:sz w:val="1"/>
                <w:szCs w:val="1"/>
                <w:color w:val="auto"/>
              </w:rPr>
            </w:pPr>
          </w:p>
        </w:tc>
      </w:tr>
      <w:tr>
        <w:trPr>
          <w:trHeight w:val="270"/>
        </w:trPr>
        <w:tc>
          <w:tcPr>
            <w:tcW w:w="3580" w:type="dxa"/>
            <w:vAlign w:val="bottom"/>
          </w:tcPr>
          <w:p>
            <w:pPr>
              <w:spacing w:after="0"/>
              <w:rPr>
                <w:sz w:val="20"/>
                <w:szCs w:val="20"/>
                <w:color w:val="auto"/>
              </w:rPr>
            </w:pPr>
            <w:r>
              <w:rPr>
                <w:rFonts w:ascii="Times New Roman" w:cs="Times New Roman" w:eastAsia="Times New Roman" w:hAnsi="Times New Roman"/>
                <w:sz w:val="20"/>
                <w:szCs w:val="20"/>
                <w:color w:val="auto"/>
              </w:rPr>
              <w:t>Depreciation</w:t>
            </w:r>
          </w:p>
        </w:tc>
        <w:tc>
          <w:tcPr>
            <w:tcW w:w="8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5,791</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8,624</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14,427</w:t>
            </w:r>
          </w:p>
        </w:tc>
        <w:tc>
          <w:tcPr>
            <w:tcW w:w="0" w:type="dxa"/>
            <w:vAlign w:val="bottom"/>
          </w:tcPr>
          <w:p>
            <w:pPr>
              <w:spacing w:after="0"/>
              <w:rPr>
                <w:sz w:val="1"/>
                <w:szCs w:val="1"/>
                <w:color w:val="auto"/>
              </w:rPr>
            </w:pPr>
          </w:p>
        </w:tc>
      </w:tr>
      <w:tr>
        <w:trPr>
          <w:trHeight w:val="270"/>
        </w:trPr>
        <w:tc>
          <w:tcPr>
            <w:tcW w:w="3580" w:type="dxa"/>
            <w:vAlign w:val="bottom"/>
          </w:tcPr>
          <w:p>
            <w:pPr>
              <w:spacing w:after="0"/>
              <w:rPr>
                <w:sz w:val="20"/>
                <w:szCs w:val="20"/>
                <w:color w:val="auto"/>
              </w:rPr>
            </w:pPr>
            <w:r>
              <w:rPr>
                <w:rFonts w:ascii="Times New Roman" w:cs="Times New Roman" w:eastAsia="Times New Roman" w:hAnsi="Times New Roman"/>
                <w:sz w:val="20"/>
                <w:szCs w:val="20"/>
                <w:color w:val="auto"/>
              </w:rPr>
              <w:t>Amortization</w:t>
            </w:r>
          </w:p>
        </w:tc>
        <w:tc>
          <w:tcPr>
            <w:tcW w:w="8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2,949</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2,974</w:t>
            </w:r>
          </w:p>
        </w:tc>
        <w:tc>
          <w:tcPr>
            <w:tcW w:w="0" w:type="dxa"/>
            <w:vAlign w:val="bottom"/>
          </w:tcPr>
          <w:p>
            <w:pPr>
              <w:spacing w:after="0"/>
              <w:rPr>
                <w:sz w:val="1"/>
                <w:szCs w:val="1"/>
                <w:color w:val="auto"/>
              </w:rPr>
            </w:pPr>
          </w:p>
        </w:tc>
      </w:tr>
      <w:tr>
        <w:trPr>
          <w:trHeight w:val="252"/>
        </w:trPr>
        <w:tc>
          <w:tcPr>
            <w:tcW w:w="3580" w:type="dxa"/>
            <w:vAlign w:val="bottom"/>
          </w:tcPr>
          <w:p>
            <w:pPr>
              <w:spacing w:after="0"/>
              <w:rPr>
                <w:sz w:val="20"/>
                <w:szCs w:val="20"/>
                <w:color w:val="auto"/>
              </w:rPr>
            </w:pPr>
            <w:r>
              <w:rPr>
                <w:rFonts w:ascii="Times New Roman" w:cs="Times New Roman" w:eastAsia="Times New Roman" w:hAnsi="Times New Roman"/>
                <w:sz w:val="20"/>
                <w:szCs w:val="20"/>
                <w:color w:val="auto"/>
              </w:rPr>
              <w:t>Other operating expense</w:t>
            </w:r>
          </w:p>
        </w:tc>
        <w:tc>
          <w:tcPr>
            <w:tcW w:w="8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7,352</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88</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230</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7,670</w:t>
            </w:r>
          </w:p>
        </w:tc>
        <w:tc>
          <w:tcPr>
            <w:tcW w:w="0" w:type="dxa"/>
            <w:vAlign w:val="bottom"/>
          </w:tcPr>
          <w:p>
            <w:pPr>
              <w:spacing w:after="0"/>
              <w:rPr>
                <w:sz w:val="1"/>
                <w:szCs w:val="1"/>
                <w:color w:val="auto"/>
              </w:rPr>
            </w:pPr>
          </w:p>
        </w:tc>
      </w:tr>
      <w:tr>
        <w:trPr>
          <w:trHeight w:val="250"/>
        </w:trPr>
        <w:tc>
          <w:tcPr>
            <w:tcW w:w="35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Total costs and expenses</w:t>
            </w:r>
          </w:p>
        </w:tc>
        <w:tc>
          <w:tcPr>
            <w:tcW w:w="8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378,261</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198,679</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17,578</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594,518</w:t>
            </w:r>
          </w:p>
        </w:tc>
        <w:tc>
          <w:tcPr>
            <w:tcW w:w="0" w:type="dxa"/>
            <w:vAlign w:val="bottom"/>
          </w:tcPr>
          <w:p>
            <w:pPr>
              <w:spacing w:after="0"/>
              <w:rPr>
                <w:sz w:val="1"/>
                <w:szCs w:val="1"/>
                <w:color w:val="auto"/>
              </w:rPr>
            </w:pPr>
          </w:p>
        </w:tc>
      </w:tr>
      <w:tr>
        <w:trPr>
          <w:trHeight w:val="268"/>
        </w:trPr>
        <w:tc>
          <w:tcPr>
            <w:tcW w:w="35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Income/(loss) from operations</w:t>
            </w:r>
          </w:p>
        </w:tc>
        <w:tc>
          <w:tcPr>
            <w:tcW w:w="8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79,142</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34,858</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w w:val="99"/>
              </w:rPr>
              <w:t>(17,578)</w:t>
            </w: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96,422</w:t>
            </w:r>
          </w:p>
        </w:tc>
        <w:tc>
          <w:tcPr>
            <w:tcW w:w="0" w:type="dxa"/>
            <w:vAlign w:val="bottom"/>
          </w:tcPr>
          <w:p>
            <w:pPr>
              <w:spacing w:after="0"/>
              <w:rPr>
                <w:sz w:val="1"/>
                <w:szCs w:val="1"/>
                <w:color w:val="auto"/>
              </w:rPr>
            </w:pPr>
          </w:p>
        </w:tc>
      </w:tr>
      <w:tr>
        <w:trPr>
          <w:trHeight w:val="270"/>
        </w:trPr>
        <w:tc>
          <w:tcPr>
            <w:tcW w:w="3580" w:type="dxa"/>
            <w:vAlign w:val="bottom"/>
          </w:tcPr>
          <w:p>
            <w:pPr>
              <w:spacing w:after="0"/>
              <w:rPr>
                <w:sz w:val="20"/>
                <w:szCs w:val="20"/>
                <w:color w:val="auto"/>
              </w:rPr>
            </w:pPr>
            <w:r>
              <w:rPr>
                <w:rFonts w:ascii="Times New Roman" w:cs="Times New Roman" w:eastAsia="Times New Roman" w:hAnsi="Times New Roman"/>
                <w:sz w:val="20"/>
                <w:szCs w:val="20"/>
                <w:color w:val="auto"/>
              </w:rPr>
              <w:t>Interest expense</w:t>
            </w:r>
          </w:p>
        </w:tc>
        <w:tc>
          <w:tcPr>
            <w:tcW w:w="8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(54)</w:t>
            </w: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(145)</w:t>
            </w: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(1,898)</w:t>
            </w: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(2,097)</w:t>
            </w:r>
          </w:p>
        </w:tc>
        <w:tc>
          <w:tcPr>
            <w:tcW w:w="0" w:type="dxa"/>
            <w:vAlign w:val="bottom"/>
          </w:tcPr>
          <w:p>
            <w:pPr>
              <w:spacing w:after="0"/>
              <w:rPr>
                <w:sz w:val="1"/>
                <w:szCs w:val="1"/>
                <w:color w:val="auto"/>
              </w:rPr>
            </w:pPr>
          </w:p>
        </w:tc>
      </w:tr>
      <w:tr>
        <w:trPr>
          <w:trHeight w:val="270"/>
        </w:trPr>
        <w:tc>
          <w:tcPr>
            <w:tcW w:w="3580" w:type="dxa"/>
            <w:vAlign w:val="bottom"/>
          </w:tcPr>
          <w:p>
            <w:pPr>
              <w:spacing w:after="0"/>
              <w:rPr>
                <w:sz w:val="20"/>
                <w:szCs w:val="20"/>
                <w:color w:val="auto"/>
              </w:rPr>
            </w:pPr>
            <w:r>
              <w:rPr>
                <w:rFonts w:ascii="Times New Roman" w:cs="Times New Roman" w:eastAsia="Times New Roman" w:hAnsi="Times New Roman"/>
                <w:sz w:val="20"/>
                <w:szCs w:val="20"/>
                <w:color w:val="auto"/>
              </w:rPr>
              <w:t>Intercompany interest income/(expense)</w:t>
            </w:r>
          </w:p>
        </w:tc>
        <w:tc>
          <w:tcPr>
            <w:tcW w:w="8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6,766</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4,574</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w w:val="99"/>
              </w:rPr>
              <w:t>(11,340)</w:t>
            </w: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2"/>
        </w:trPr>
        <w:tc>
          <w:tcPr>
            <w:tcW w:w="3580" w:type="dxa"/>
            <w:vAlign w:val="bottom"/>
          </w:tcPr>
          <w:p>
            <w:pPr>
              <w:spacing w:after="0"/>
              <w:rPr>
                <w:sz w:val="20"/>
                <w:szCs w:val="20"/>
                <w:color w:val="auto"/>
              </w:rPr>
            </w:pPr>
            <w:r>
              <w:rPr>
                <w:rFonts w:ascii="Times New Roman" w:cs="Times New Roman" w:eastAsia="Times New Roman" w:hAnsi="Times New Roman"/>
                <w:sz w:val="20"/>
                <w:szCs w:val="20"/>
                <w:color w:val="auto"/>
              </w:rPr>
              <w:t>Other income—net</w:t>
            </w:r>
          </w:p>
        </w:tc>
        <w:tc>
          <w:tcPr>
            <w:tcW w:w="8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124</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2,254</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2,383</w:t>
            </w:r>
          </w:p>
        </w:tc>
        <w:tc>
          <w:tcPr>
            <w:tcW w:w="0" w:type="dxa"/>
            <w:vAlign w:val="bottom"/>
          </w:tcPr>
          <w:p>
            <w:pPr>
              <w:spacing w:after="0"/>
              <w:rPr>
                <w:sz w:val="1"/>
                <w:szCs w:val="1"/>
                <w:color w:val="auto"/>
              </w:rPr>
            </w:pPr>
          </w:p>
        </w:tc>
      </w:tr>
      <w:tr>
        <w:trPr>
          <w:trHeight w:val="268"/>
        </w:trPr>
        <w:tc>
          <w:tcPr>
            <w:tcW w:w="35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Income/(loss) before income taxes</w:t>
            </w:r>
          </w:p>
        </w:tc>
        <w:tc>
          <w:tcPr>
            <w:tcW w:w="8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85,978</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39,292</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w w:val="99"/>
              </w:rPr>
              <w:t>(28,562)</w:t>
            </w: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96,708</w:t>
            </w:r>
          </w:p>
        </w:tc>
        <w:tc>
          <w:tcPr>
            <w:tcW w:w="0" w:type="dxa"/>
            <w:vAlign w:val="bottom"/>
          </w:tcPr>
          <w:p>
            <w:pPr>
              <w:spacing w:after="0"/>
              <w:rPr>
                <w:sz w:val="1"/>
                <w:szCs w:val="1"/>
                <w:color w:val="auto"/>
              </w:rPr>
            </w:pPr>
          </w:p>
        </w:tc>
      </w:tr>
      <w:tr>
        <w:trPr>
          <w:trHeight w:val="252"/>
        </w:trPr>
        <w:tc>
          <w:tcPr>
            <w:tcW w:w="3580" w:type="dxa"/>
            <w:vAlign w:val="bottom"/>
          </w:tcPr>
          <w:p>
            <w:pPr>
              <w:spacing w:after="0"/>
              <w:rPr>
                <w:sz w:val="20"/>
                <w:szCs w:val="20"/>
                <w:color w:val="auto"/>
              </w:rPr>
            </w:pPr>
            <w:r>
              <w:rPr>
                <w:rFonts w:ascii="Times New Roman" w:cs="Times New Roman" w:eastAsia="Times New Roman" w:hAnsi="Times New Roman"/>
                <w:sz w:val="20"/>
                <w:szCs w:val="20"/>
                <w:color w:val="auto"/>
              </w:rPr>
              <w:t>Income taxes</w:t>
            </w:r>
          </w:p>
        </w:tc>
        <w:tc>
          <w:tcPr>
            <w:tcW w:w="8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(20,270)</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(9,152)</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4,362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(25,060)</w:t>
            </w:r>
          </w:p>
        </w:tc>
        <w:tc>
          <w:tcPr>
            <w:tcW w:w="0" w:type="dxa"/>
            <w:vAlign w:val="bottom"/>
          </w:tcPr>
          <w:p>
            <w:pPr>
              <w:spacing w:after="0"/>
              <w:rPr>
                <w:sz w:val="1"/>
                <w:szCs w:val="1"/>
                <w:color w:val="auto"/>
              </w:rPr>
            </w:pPr>
          </w:p>
        </w:tc>
      </w:tr>
      <w:tr>
        <w:trPr>
          <w:trHeight w:val="243"/>
        </w:trPr>
        <w:tc>
          <w:tcPr>
            <w:tcW w:w="35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Net income/(loss)</w:t>
            </w:r>
          </w:p>
        </w:tc>
        <w:tc>
          <w:tcPr>
            <w:tcW w:w="84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61"/>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65,708</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61"/>
              <w:spacing w:after="0"/>
              <w:rPr>
                <w:sz w:val="20"/>
                <w:szCs w:val="20"/>
                <w:color w:val="auto"/>
              </w:rPr>
            </w:pPr>
            <w:r>
              <w:rPr>
                <w:rFonts w:ascii="Times New Roman" w:cs="Times New Roman" w:eastAsia="Times New Roman" w:hAnsi="Times New Roman"/>
                <w:sz w:val="20"/>
                <w:szCs w:val="20"/>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30,140</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20"/>
                <w:szCs w:val="20"/>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(24,200)</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71,648</w:t>
            </w:r>
          </w:p>
        </w:tc>
        <w:tc>
          <w:tcPr>
            <w:tcW w:w="0" w:type="dxa"/>
            <w:vAlign w:val="bottom"/>
          </w:tcPr>
          <w:p>
            <w:pPr>
              <w:spacing w:after="0"/>
              <w:rPr>
                <w:sz w:val="1"/>
                <w:szCs w:val="1"/>
                <w:color w:val="auto"/>
              </w:rPr>
            </w:pPr>
          </w:p>
        </w:tc>
      </w:tr>
      <w:tr>
        <w:trPr>
          <w:trHeight w:val="527"/>
        </w:trPr>
        <w:tc>
          <w:tcPr>
            <w:tcW w:w="3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2025 (b)</w:t>
            </w:r>
          </w:p>
        </w:tc>
        <w:tc>
          <w:tcPr>
            <w:tcW w:w="84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407,741</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217,159</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624,900</w:t>
            </w:r>
          </w:p>
        </w:tc>
        <w:tc>
          <w:tcPr>
            <w:tcW w:w="0" w:type="dxa"/>
            <w:vAlign w:val="bottom"/>
          </w:tcPr>
          <w:p>
            <w:pPr>
              <w:spacing w:after="0"/>
              <w:rPr>
                <w:sz w:val="1"/>
                <w:szCs w:val="1"/>
                <w:color w:val="auto"/>
              </w:rPr>
            </w:pPr>
          </w:p>
        </w:tc>
      </w:tr>
      <w:tr>
        <w:trPr>
          <w:trHeight w:val="250"/>
        </w:trPr>
        <w:tc>
          <w:tcPr>
            <w:tcW w:w="3580" w:type="dxa"/>
            <w:vAlign w:val="bottom"/>
          </w:tcPr>
          <w:p>
            <w:pPr>
              <w:spacing w:after="0"/>
              <w:rPr>
                <w:sz w:val="20"/>
                <w:szCs w:val="20"/>
                <w:color w:val="auto"/>
              </w:rPr>
            </w:pPr>
            <w:r>
              <w:rPr>
                <w:rFonts w:ascii="Times New Roman" w:cs="Times New Roman" w:eastAsia="Times New Roman" w:hAnsi="Times New Roman"/>
                <w:sz w:val="20"/>
                <w:szCs w:val="20"/>
                <w:color w:val="auto"/>
              </w:rPr>
              <w:t>Service revenues and sales</w:t>
            </w:r>
          </w:p>
        </w:tc>
        <w:tc>
          <w:tcPr>
            <w:tcW w:w="840" w:type="dxa"/>
            <w:vAlign w:val="bottom"/>
          </w:tcPr>
          <w:p>
            <w:pPr>
              <w:spacing w:after="0"/>
              <w:rPr>
                <w:sz w:val="21"/>
                <w:szCs w:val="21"/>
                <w:color w:val="auto"/>
              </w:rPr>
            </w:pPr>
          </w:p>
        </w:tc>
        <w:tc>
          <w:tcPr>
            <w:tcW w:w="26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bottom w:val="single" w:sz="8" w:color="auto"/>
            </w:tcBorders>
            <w:vMerge w:val="continue"/>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20"/>
                <w:szCs w:val="20"/>
                <w:color w:val="auto"/>
                <w:w w:val="79"/>
              </w:rPr>
              <w:t>$</w:t>
            </w:r>
          </w:p>
        </w:tc>
        <w:tc>
          <w:tcPr>
            <w:tcW w:w="860" w:type="dxa"/>
            <w:vAlign w:val="bottom"/>
            <w:tcBorders>
              <w:bottom w:val="single" w:sz="8" w:color="auto"/>
            </w:tcBorders>
            <w:vMerge w:val="continue"/>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20"/>
                <w:szCs w:val="20"/>
                <w:color w:val="auto"/>
                <w:w w:val="7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68"/>
        </w:trPr>
        <w:tc>
          <w:tcPr>
            <w:tcW w:w="3580" w:type="dxa"/>
            <w:vAlign w:val="bottom"/>
          </w:tcPr>
          <w:p>
            <w:pPr>
              <w:spacing w:after="0"/>
              <w:rPr>
                <w:sz w:val="20"/>
                <w:szCs w:val="20"/>
                <w:color w:val="auto"/>
              </w:rPr>
            </w:pPr>
            <w:r>
              <w:rPr>
                <w:rFonts w:ascii="Times New Roman" w:cs="Times New Roman" w:eastAsia="Times New Roman" w:hAnsi="Times New Roman"/>
                <w:sz w:val="20"/>
                <w:szCs w:val="20"/>
                <w:color w:val="auto"/>
              </w:rPr>
              <w:t>Cost of services provided and goods sold</w:t>
            </w:r>
          </w:p>
        </w:tc>
        <w:tc>
          <w:tcPr>
            <w:tcW w:w="8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318,015</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107,128</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425,143</w:t>
            </w:r>
          </w:p>
        </w:tc>
        <w:tc>
          <w:tcPr>
            <w:tcW w:w="0" w:type="dxa"/>
            <w:vAlign w:val="bottom"/>
          </w:tcPr>
          <w:p>
            <w:pPr>
              <w:spacing w:after="0"/>
              <w:rPr>
                <w:sz w:val="1"/>
                <w:szCs w:val="1"/>
                <w:color w:val="auto"/>
              </w:rPr>
            </w:pPr>
          </w:p>
        </w:tc>
      </w:tr>
      <w:tr>
        <w:trPr>
          <w:trHeight w:val="270"/>
        </w:trPr>
        <w:tc>
          <w:tcPr>
            <w:tcW w:w="3580" w:type="dxa"/>
            <w:vAlign w:val="bottom"/>
          </w:tcPr>
          <w:p>
            <w:pPr>
              <w:spacing w:after="0"/>
              <w:rPr>
                <w:sz w:val="20"/>
                <w:szCs w:val="20"/>
                <w:color w:val="auto"/>
              </w:rPr>
            </w:pPr>
            <w:r>
              <w:rPr>
                <w:rFonts w:ascii="Times New Roman" w:cs="Times New Roman" w:eastAsia="Times New Roman" w:hAnsi="Times New Roman"/>
                <w:sz w:val="20"/>
                <w:szCs w:val="20"/>
                <w:color w:val="auto"/>
                <w:w w:val="99"/>
              </w:rPr>
              <w:t>Selling, general and administrative expenses</w:t>
            </w:r>
          </w:p>
        </w:tc>
        <w:tc>
          <w:tcPr>
            <w:tcW w:w="8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25,236</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60,672</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19,867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105,775</w:t>
            </w:r>
          </w:p>
        </w:tc>
        <w:tc>
          <w:tcPr>
            <w:tcW w:w="0" w:type="dxa"/>
            <w:vAlign w:val="bottom"/>
          </w:tcPr>
          <w:p>
            <w:pPr>
              <w:spacing w:after="0"/>
              <w:rPr>
                <w:sz w:val="1"/>
                <w:szCs w:val="1"/>
                <w:color w:val="auto"/>
              </w:rPr>
            </w:pPr>
          </w:p>
        </w:tc>
      </w:tr>
      <w:tr>
        <w:trPr>
          <w:trHeight w:val="270"/>
        </w:trPr>
        <w:tc>
          <w:tcPr>
            <w:tcW w:w="3580" w:type="dxa"/>
            <w:vAlign w:val="bottom"/>
          </w:tcPr>
          <w:p>
            <w:pPr>
              <w:spacing w:after="0"/>
              <w:rPr>
                <w:sz w:val="20"/>
                <w:szCs w:val="20"/>
                <w:color w:val="auto"/>
              </w:rPr>
            </w:pPr>
            <w:r>
              <w:rPr>
                <w:rFonts w:ascii="Times New Roman" w:cs="Times New Roman" w:eastAsia="Times New Roman" w:hAnsi="Times New Roman"/>
                <w:sz w:val="20"/>
                <w:szCs w:val="20"/>
                <w:color w:val="auto"/>
              </w:rPr>
              <w:t>Depreciation</w:t>
            </w:r>
          </w:p>
        </w:tc>
        <w:tc>
          <w:tcPr>
            <w:tcW w:w="8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5,354</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8,298</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13,664</w:t>
            </w:r>
          </w:p>
        </w:tc>
        <w:tc>
          <w:tcPr>
            <w:tcW w:w="0" w:type="dxa"/>
            <w:vAlign w:val="bottom"/>
          </w:tcPr>
          <w:p>
            <w:pPr>
              <w:spacing w:after="0"/>
              <w:rPr>
                <w:sz w:val="1"/>
                <w:szCs w:val="1"/>
                <w:color w:val="auto"/>
              </w:rPr>
            </w:pPr>
          </w:p>
        </w:tc>
      </w:tr>
      <w:tr>
        <w:trPr>
          <w:trHeight w:val="270"/>
        </w:trPr>
        <w:tc>
          <w:tcPr>
            <w:tcW w:w="3580" w:type="dxa"/>
            <w:vAlign w:val="bottom"/>
          </w:tcPr>
          <w:p>
            <w:pPr>
              <w:spacing w:after="0"/>
              <w:rPr>
                <w:sz w:val="20"/>
                <w:szCs w:val="20"/>
                <w:color w:val="auto"/>
              </w:rPr>
            </w:pPr>
            <w:r>
              <w:rPr>
                <w:rFonts w:ascii="Times New Roman" w:cs="Times New Roman" w:eastAsia="Times New Roman" w:hAnsi="Times New Roman"/>
                <w:sz w:val="20"/>
                <w:szCs w:val="20"/>
                <w:color w:val="auto"/>
              </w:rPr>
              <w:t>Amortization</w:t>
            </w:r>
          </w:p>
        </w:tc>
        <w:tc>
          <w:tcPr>
            <w:tcW w:w="8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2,544</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2,570</w:t>
            </w:r>
          </w:p>
        </w:tc>
        <w:tc>
          <w:tcPr>
            <w:tcW w:w="0" w:type="dxa"/>
            <w:vAlign w:val="bottom"/>
          </w:tcPr>
          <w:p>
            <w:pPr>
              <w:spacing w:after="0"/>
              <w:rPr>
                <w:sz w:val="1"/>
                <w:szCs w:val="1"/>
                <w:color w:val="auto"/>
              </w:rPr>
            </w:pPr>
          </w:p>
        </w:tc>
      </w:tr>
      <w:tr>
        <w:trPr>
          <w:trHeight w:val="252"/>
        </w:trPr>
        <w:tc>
          <w:tcPr>
            <w:tcW w:w="3580" w:type="dxa"/>
            <w:vAlign w:val="bottom"/>
          </w:tcPr>
          <w:p>
            <w:pPr>
              <w:spacing w:after="0"/>
              <w:rPr>
                <w:sz w:val="20"/>
                <w:szCs w:val="20"/>
                <w:color w:val="auto"/>
              </w:rPr>
            </w:pPr>
            <w:r>
              <w:rPr>
                <w:rFonts w:ascii="Times New Roman" w:cs="Times New Roman" w:eastAsia="Times New Roman" w:hAnsi="Times New Roman"/>
                <w:sz w:val="20"/>
                <w:szCs w:val="20"/>
                <w:color w:val="auto"/>
              </w:rPr>
              <w:t>Other operating expense/(income)</w:t>
            </w:r>
          </w:p>
        </w:tc>
        <w:tc>
          <w:tcPr>
            <w:tcW w:w="8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3,036</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(38)</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2,998</w:t>
            </w:r>
          </w:p>
        </w:tc>
        <w:tc>
          <w:tcPr>
            <w:tcW w:w="0" w:type="dxa"/>
            <w:vAlign w:val="bottom"/>
          </w:tcPr>
          <w:p>
            <w:pPr>
              <w:spacing w:after="0"/>
              <w:rPr>
                <w:sz w:val="1"/>
                <w:szCs w:val="1"/>
                <w:color w:val="auto"/>
              </w:rPr>
            </w:pPr>
          </w:p>
        </w:tc>
      </w:tr>
      <w:tr>
        <w:trPr>
          <w:trHeight w:val="250"/>
        </w:trPr>
        <w:tc>
          <w:tcPr>
            <w:tcW w:w="35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Total costs and expenses</w:t>
            </w:r>
          </w:p>
        </w:tc>
        <w:tc>
          <w:tcPr>
            <w:tcW w:w="840" w:type="dxa"/>
            <w:vAlign w:val="bottom"/>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351,667</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178,604</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19,879</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550,150</w:t>
            </w:r>
          </w:p>
        </w:tc>
        <w:tc>
          <w:tcPr>
            <w:tcW w:w="0" w:type="dxa"/>
            <w:vAlign w:val="bottom"/>
          </w:tcPr>
          <w:p>
            <w:pPr>
              <w:spacing w:after="0"/>
              <w:rPr>
                <w:sz w:val="1"/>
                <w:szCs w:val="1"/>
                <w:color w:val="auto"/>
              </w:rPr>
            </w:pPr>
          </w:p>
        </w:tc>
      </w:tr>
      <w:tr>
        <w:trPr>
          <w:trHeight w:val="268"/>
        </w:trPr>
        <w:tc>
          <w:tcPr>
            <w:tcW w:w="35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Income/(loss) from operations</w:t>
            </w:r>
          </w:p>
        </w:tc>
        <w:tc>
          <w:tcPr>
            <w:tcW w:w="8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56,074</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38,555</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w w:val="99"/>
              </w:rPr>
              <w:t>(19,879)</w:t>
            </w: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74,750</w:t>
            </w:r>
          </w:p>
        </w:tc>
        <w:tc>
          <w:tcPr>
            <w:tcW w:w="0" w:type="dxa"/>
            <w:vAlign w:val="bottom"/>
          </w:tcPr>
          <w:p>
            <w:pPr>
              <w:spacing w:after="0"/>
              <w:rPr>
                <w:sz w:val="1"/>
                <w:szCs w:val="1"/>
                <w:color w:val="auto"/>
              </w:rPr>
            </w:pPr>
          </w:p>
        </w:tc>
      </w:tr>
      <w:tr>
        <w:trPr>
          <w:trHeight w:val="270"/>
        </w:trPr>
        <w:tc>
          <w:tcPr>
            <w:tcW w:w="3580" w:type="dxa"/>
            <w:vAlign w:val="bottom"/>
          </w:tcPr>
          <w:p>
            <w:pPr>
              <w:spacing w:after="0"/>
              <w:rPr>
                <w:sz w:val="20"/>
                <w:szCs w:val="20"/>
                <w:color w:val="auto"/>
              </w:rPr>
            </w:pPr>
            <w:r>
              <w:rPr>
                <w:rFonts w:ascii="Times New Roman" w:cs="Times New Roman" w:eastAsia="Times New Roman" w:hAnsi="Times New Roman"/>
                <w:sz w:val="20"/>
                <w:szCs w:val="20"/>
                <w:color w:val="auto"/>
              </w:rPr>
              <w:t>Interest expense</w:t>
            </w:r>
          </w:p>
        </w:tc>
        <w:tc>
          <w:tcPr>
            <w:tcW w:w="8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(56)</w:t>
            </w: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(132)</w:t>
            </w: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(269)</w:t>
            </w: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(457)</w:t>
            </w:r>
          </w:p>
        </w:tc>
        <w:tc>
          <w:tcPr>
            <w:tcW w:w="0" w:type="dxa"/>
            <w:vAlign w:val="bottom"/>
          </w:tcPr>
          <w:p>
            <w:pPr>
              <w:spacing w:after="0"/>
              <w:rPr>
                <w:sz w:val="1"/>
                <w:szCs w:val="1"/>
                <w:color w:val="auto"/>
              </w:rPr>
            </w:pPr>
          </w:p>
        </w:tc>
      </w:tr>
      <w:tr>
        <w:trPr>
          <w:trHeight w:val="270"/>
        </w:trPr>
        <w:tc>
          <w:tcPr>
            <w:tcW w:w="3580" w:type="dxa"/>
            <w:vAlign w:val="bottom"/>
          </w:tcPr>
          <w:p>
            <w:pPr>
              <w:spacing w:after="0"/>
              <w:rPr>
                <w:sz w:val="20"/>
                <w:szCs w:val="20"/>
                <w:color w:val="auto"/>
              </w:rPr>
            </w:pPr>
            <w:r>
              <w:rPr>
                <w:rFonts w:ascii="Times New Roman" w:cs="Times New Roman" w:eastAsia="Times New Roman" w:hAnsi="Times New Roman"/>
                <w:sz w:val="20"/>
                <w:szCs w:val="20"/>
                <w:color w:val="auto"/>
              </w:rPr>
              <w:t>Intercompany interest income/(expense)</w:t>
            </w:r>
          </w:p>
        </w:tc>
        <w:tc>
          <w:tcPr>
            <w:tcW w:w="8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5,685</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4,030</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(9,715)</w:t>
            </w: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2"/>
        </w:trPr>
        <w:tc>
          <w:tcPr>
            <w:tcW w:w="3580" w:type="dxa"/>
            <w:vAlign w:val="bottom"/>
          </w:tcPr>
          <w:p>
            <w:pPr>
              <w:spacing w:after="0"/>
              <w:rPr>
                <w:sz w:val="20"/>
                <w:szCs w:val="20"/>
                <w:color w:val="auto"/>
              </w:rPr>
            </w:pPr>
            <w:r>
              <w:rPr>
                <w:rFonts w:ascii="Times New Roman" w:cs="Times New Roman" w:eastAsia="Times New Roman" w:hAnsi="Times New Roman"/>
                <w:sz w:val="20"/>
                <w:szCs w:val="20"/>
                <w:color w:val="auto"/>
              </w:rPr>
              <w:t>Other income—net</w:t>
            </w:r>
          </w:p>
        </w:tc>
        <w:tc>
          <w:tcPr>
            <w:tcW w:w="8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61</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9,165</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9,251</w:t>
            </w:r>
          </w:p>
        </w:tc>
        <w:tc>
          <w:tcPr>
            <w:tcW w:w="0" w:type="dxa"/>
            <w:vAlign w:val="bottom"/>
          </w:tcPr>
          <w:p>
            <w:pPr>
              <w:spacing w:after="0"/>
              <w:rPr>
                <w:sz w:val="1"/>
                <w:szCs w:val="1"/>
                <w:color w:val="auto"/>
              </w:rPr>
            </w:pPr>
          </w:p>
        </w:tc>
      </w:tr>
      <w:tr>
        <w:trPr>
          <w:trHeight w:val="268"/>
        </w:trPr>
        <w:tc>
          <w:tcPr>
            <w:tcW w:w="35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Income/(loss) before income taxes</w:t>
            </w:r>
          </w:p>
        </w:tc>
        <w:tc>
          <w:tcPr>
            <w:tcW w:w="8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61,764</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42,478</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w w:val="99"/>
              </w:rPr>
              <w:t>(20,698)</w:t>
            </w: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83,544</w:t>
            </w:r>
          </w:p>
        </w:tc>
        <w:tc>
          <w:tcPr>
            <w:tcW w:w="0" w:type="dxa"/>
            <w:vAlign w:val="bottom"/>
          </w:tcPr>
          <w:p>
            <w:pPr>
              <w:spacing w:after="0"/>
              <w:rPr>
                <w:sz w:val="1"/>
                <w:szCs w:val="1"/>
                <w:color w:val="auto"/>
              </w:rPr>
            </w:pPr>
          </w:p>
        </w:tc>
      </w:tr>
      <w:tr>
        <w:trPr>
          <w:trHeight w:val="252"/>
        </w:trPr>
        <w:tc>
          <w:tcPr>
            <w:tcW w:w="3580" w:type="dxa"/>
            <w:vAlign w:val="bottom"/>
          </w:tcPr>
          <w:p>
            <w:pPr>
              <w:spacing w:after="0"/>
              <w:rPr>
                <w:sz w:val="20"/>
                <w:szCs w:val="20"/>
                <w:color w:val="auto"/>
              </w:rPr>
            </w:pPr>
            <w:r>
              <w:rPr>
                <w:rFonts w:ascii="Times New Roman" w:cs="Times New Roman" w:eastAsia="Times New Roman" w:hAnsi="Times New Roman"/>
                <w:sz w:val="20"/>
                <w:szCs w:val="20"/>
                <w:color w:val="auto"/>
              </w:rPr>
              <w:t>Income taxes</w:t>
            </w:r>
          </w:p>
        </w:tc>
        <w:tc>
          <w:tcPr>
            <w:tcW w:w="8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(14,993)</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(10,407)</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6,093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(19,307)</w:t>
            </w:r>
          </w:p>
        </w:tc>
        <w:tc>
          <w:tcPr>
            <w:tcW w:w="0" w:type="dxa"/>
            <w:vAlign w:val="bottom"/>
          </w:tcPr>
          <w:p>
            <w:pPr>
              <w:spacing w:after="0"/>
              <w:rPr>
                <w:sz w:val="1"/>
                <w:szCs w:val="1"/>
                <w:color w:val="auto"/>
              </w:rPr>
            </w:pPr>
          </w:p>
        </w:tc>
      </w:tr>
      <w:tr>
        <w:trPr>
          <w:trHeight w:val="243"/>
        </w:trPr>
        <w:tc>
          <w:tcPr>
            <w:tcW w:w="35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Net income/(loss)</w:t>
            </w:r>
          </w:p>
        </w:tc>
        <w:tc>
          <w:tcPr>
            <w:tcW w:w="84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61"/>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46,771</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61"/>
              <w:spacing w:after="0"/>
              <w:rPr>
                <w:sz w:val="20"/>
                <w:szCs w:val="20"/>
                <w:color w:val="auto"/>
              </w:rPr>
            </w:pPr>
            <w:r>
              <w:rPr>
                <w:rFonts w:ascii="Times New Roman" w:cs="Times New Roman" w:eastAsia="Times New Roman" w:hAnsi="Times New Roman"/>
                <w:sz w:val="20"/>
                <w:szCs w:val="20"/>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32,071</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20"/>
                <w:szCs w:val="20"/>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(14,605)</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64,237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"Footnotes to Financial Statements" are integral parts of this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507365</wp:posOffset>
            </wp:positionV>
            <wp:extent cx="6000115" cy="508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000115" cy="50800"/>
                    </a:xfrm>
                    <a:prstGeom prst="rect">
                      <a:avLst/>
                    </a:prstGeom>
                    <a:noFill/>
                  </pic:spPr>
                </pic:pic>
              </a:graphicData>
            </a:graphic>
          </wp:anchor>
        </w:drawing>
      </w:r>
    </w:p>
    <w:p>
      <w:pPr>
        <w:sectPr>
          <w:pgSz w:w="11900" w:h="16838" w:orient="portrait"/>
          <w:cols w:equalWidth="0" w:num="1">
            <w:col w:w="9479"/>
          </w:cols>
          <w:pgMar w:left="980" w:top="180" w:right="1440" w:bottom="1440" w:gutter="0" w:footer="0" w:header="0"/>
        </w:sectPr>
      </w:pPr>
    </w:p>
    <w:bookmarkStart w:id="12" w:name="page13"/>
    <w:bookmarkEnd w:id="12"/>
    <w:p>
      <w:pPr>
        <w:jc w:val="center"/>
        <w:ind w:right="119"/>
        <w:spacing w:after="0" w:line="283" w:lineRule="auto"/>
        <w:rPr>
          <w:sz w:val="20"/>
          <w:szCs w:val="20"/>
          <w:color w:val="auto"/>
        </w:rPr>
      </w:pPr>
      <w:r>
        <w:rPr>
          <w:rFonts w:ascii="Times New Roman" w:cs="Times New Roman" w:eastAsia="Times New Roman" w:hAnsi="Times New Roman"/>
          <w:sz w:val="20"/>
          <w:szCs w:val="20"/>
          <w:b w:val="1"/>
          <w:bCs w:val="1"/>
          <w:color w:val="auto"/>
        </w:rPr>
        <w:t xml:space="preserve">CHEMED CORPORATION AND SUBSIDIARY COMPANIES CONSOLIDATING STATEMENTS OF INCOME FOR THE NINE MONTHS ENDED SEPTEMBER 30, 2026 AND 2025 </w:t>
      </w:r>
      <w:r>
        <w:rPr>
          <w:rFonts w:ascii="Times New Roman" w:cs="Times New Roman" w:eastAsia="Times New Roman" w:hAnsi="Times New Roman"/>
          <w:sz w:val="20"/>
          <w:szCs w:val="20"/>
          <w:color w:val="auto"/>
        </w:rPr>
        <w:t>(in thousands)(unaudited)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44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jc w:val="right"/>
              <w:ind w:right="121"/>
              <w:spacing w:after="0"/>
              <w:rPr>
                <w:sz w:val="20"/>
                <w:szCs w:val="20"/>
                <w:color w:val="auto"/>
              </w:rPr>
            </w:pPr>
            <w:r>
              <w:rPr>
                <w:rFonts w:ascii="Times New Roman" w:cs="Times New Roman" w:eastAsia="Times New Roman" w:hAnsi="Times New Roman"/>
                <w:sz w:val="20"/>
                <w:szCs w:val="20"/>
                <w:b w:val="1"/>
                <w:bCs w:val="1"/>
                <w:color w:val="auto"/>
              </w:rPr>
              <w:t>Chemed</w:t>
            </w:r>
          </w:p>
        </w:tc>
        <w:tc>
          <w:tcPr>
            <w:tcW w:w="0" w:type="dxa"/>
            <w:vAlign w:val="bottom"/>
          </w:tcPr>
          <w:p>
            <w:pPr>
              <w:spacing w:after="0"/>
              <w:rPr>
                <w:sz w:val="1"/>
                <w:szCs w:val="1"/>
                <w:color w:val="auto"/>
              </w:rPr>
            </w:pPr>
          </w:p>
        </w:tc>
      </w:tr>
      <w:tr>
        <w:trPr>
          <w:trHeight w:val="250"/>
        </w:trPr>
        <w:tc>
          <w:tcPr>
            <w:tcW w:w="4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480"/>
              <w:spacing w:after="0"/>
              <w:rPr>
                <w:sz w:val="20"/>
                <w:szCs w:val="20"/>
                <w:color w:val="auto"/>
              </w:rPr>
            </w:pPr>
            <w:r>
              <w:rPr>
                <w:rFonts w:ascii="Times New Roman" w:cs="Times New Roman" w:eastAsia="Times New Roman" w:hAnsi="Times New Roman"/>
                <w:sz w:val="20"/>
                <w:szCs w:val="20"/>
                <w:b w:val="1"/>
                <w:bCs w:val="1"/>
                <w:color w:val="auto"/>
              </w:rPr>
              <w:t>VITAS</w:t>
            </w:r>
          </w:p>
        </w:tc>
        <w:tc>
          <w:tcPr>
            <w:tcW w:w="40" w:type="dxa"/>
            <w:vAlign w:val="bottom"/>
          </w:tcPr>
          <w:p>
            <w:pPr>
              <w:spacing w:after="0"/>
              <w:rPr>
                <w:sz w:val="21"/>
                <w:szCs w:val="21"/>
                <w:color w:val="auto"/>
              </w:rPr>
            </w:pPr>
          </w:p>
        </w:tc>
        <w:tc>
          <w:tcPr>
            <w:tcW w:w="1180" w:type="dxa"/>
            <w:vAlign w:val="bottom"/>
            <w:gridSpan w:val="3"/>
          </w:tcPr>
          <w:p>
            <w:pPr>
              <w:ind w:left="40"/>
              <w:spacing w:after="0"/>
              <w:rPr>
                <w:sz w:val="20"/>
                <w:szCs w:val="20"/>
                <w:color w:val="auto"/>
              </w:rPr>
            </w:pPr>
            <w:r>
              <w:rPr>
                <w:rFonts w:ascii="Times New Roman" w:cs="Times New Roman" w:eastAsia="Times New Roman" w:hAnsi="Times New Roman"/>
                <w:sz w:val="20"/>
                <w:szCs w:val="20"/>
                <w:b w:val="1"/>
                <w:bCs w:val="1"/>
                <w:color w:val="auto"/>
              </w:rPr>
              <w:t>Roto-Rooter</w:t>
            </w:r>
          </w:p>
        </w:tc>
        <w:tc>
          <w:tcPr>
            <w:tcW w:w="40" w:type="dxa"/>
            <w:vAlign w:val="bottom"/>
          </w:tcPr>
          <w:p>
            <w:pPr>
              <w:spacing w:after="0"/>
              <w:rPr>
                <w:sz w:val="21"/>
                <w:szCs w:val="21"/>
                <w:color w:val="auto"/>
              </w:rPr>
            </w:pPr>
          </w:p>
        </w:tc>
        <w:tc>
          <w:tcPr>
            <w:tcW w:w="1040" w:type="dxa"/>
            <w:vAlign w:val="bottom"/>
            <w:gridSpan w:val="3"/>
          </w:tcPr>
          <w:p>
            <w:pPr>
              <w:ind w:left="40"/>
              <w:spacing w:after="0"/>
              <w:rPr>
                <w:sz w:val="20"/>
                <w:szCs w:val="20"/>
                <w:color w:val="auto"/>
              </w:rPr>
            </w:pPr>
            <w:r>
              <w:rPr>
                <w:rFonts w:ascii="Times New Roman" w:cs="Times New Roman" w:eastAsia="Times New Roman" w:hAnsi="Times New Roman"/>
                <w:sz w:val="20"/>
                <w:szCs w:val="20"/>
                <w:b w:val="1"/>
                <w:bCs w:val="1"/>
                <w:color w:val="auto"/>
              </w:rPr>
              <w:t>Corporate</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w w:val="99"/>
              </w:rPr>
              <w:t>Consolidated</w:t>
            </w:r>
          </w:p>
        </w:tc>
        <w:tc>
          <w:tcPr>
            <w:tcW w:w="0" w:type="dxa"/>
            <w:vAlign w:val="bottom"/>
          </w:tcPr>
          <w:p>
            <w:pPr>
              <w:spacing w:after="0"/>
              <w:rPr>
                <w:sz w:val="1"/>
                <w:szCs w:val="1"/>
                <w:color w:val="auto"/>
              </w:rPr>
            </w:pPr>
          </w:p>
        </w:tc>
      </w:tr>
      <w:tr>
        <w:trPr>
          <w:trHeight w:val="250"/>
        </w:trPr>
        <w:tc>
          <w:tcPr>
            <w:tcW w:w="4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rPr>
              <w:t>2026 (a)</w:t>
            </w:r>
          </w:p>
        </w:tc>
        <w:tc>
          <w:tcPr>
            <w:tcW w:w="260" w:type="dxa"/>
            <w:vAlign w:val="bottom"/>
            <w:tcBorders>
              <w:top w:val="single" w:sz="8" w:color="auto"/>
            </w:tcBorders>
          </w:tcPr>
          <w:p>
            <w:pPr>
              <w:spacing w:after="0"/>
              <w:rPr>
                <w:sz w:val="21"/>
                <w:szCs w:val="21"/>
                <w:color w:val="auto"/>
              </w:rPr>
            </w:pPr>
          </w:p>
        </w:tc>
        <w:tc>
          <w:tcPr>
            <w:tcW w:w="1160" w:type="dxa"/>
            <w:vAlign w:val="bottom"/>
            <w:tcBorders>
              <w:top w:val="single" w:sz="8" w:color="auto"/>
              <w:bottom w:val="single" w:sz="8" w:color="auto"/>
            </w:tcBorders>
            <w:vMerge w:val="restart"/>
          </w:tcPr>
          <w:p>
            <w:pPr>
              <w:jc w:val="right"/>
              <w:spacing w:after="0"/>
              <w:rPr>
                <w:sz w:val="20"/>
                <w:szCs w:val="20"/>
                <w:color w:val="auto"/>
              </w:rPr>
            </w:pPr>
            <w:r>
              <w:rPr>
                <w:rFonts w:ascii="Times New Roman" w:cs="Times New Roman" w:eastAsia="Times New Roman" w:hAnsi="Times New Roman"/>
                <w:sz w:val="20"/>
                <w:szCs w:val="20"/>
                <w:color w:val="auto"/>
              </w:rPr>
              <w:t>1,320,762</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860" w:type="dxa"/>
            <w:vAlign w:val="bottom"/>
            <w:tcBorders>
              <w:top w:val="single" w:sz="8" w:color="auto"/>
              <w:bottom w:val="single" w:sz="8" w:color="auto"/>
            </w:tcBorders>
            <w:vMerge w:val="restart"/>
          </w:tcPr>
          <w:p>
            <w:pPr>
              <w:jc w:val="right"/>
              <w:spacing w:after="0"/>
              <w:rPr>
                <w:sz w:val="20"/>
                <w:szCs w:val="20"/>
                <w:color w:val="auto"/>
              </w:rPr>
            </w:pPr>
            <w:r>
              <w:rPr>
                <w:rFonts w:ascii="Times New Roman" w:cs="Times New Roman" w:eastAsia="Times New Roman" w:hAnsi="Times New Roman"/>
                <w:sz w:val="20"/>
                <w:szCs w:val="20"/>
                <w:color w:val="auto"/>
              </w:rPr>
              <w:t>700,942</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00" w:type="dxa"/>
            <w:vAlign w:val="bottom"/>
            <w:tcBorders>
              <w:top w:val="single" w:sz="8" w:color="auto"/>
              <w:bottom w:val="single" w:sz="8" w:color="auto"/>
            </w:tcBorders>
            <w:vMerge w:val="restart"/>
          </w:tcPr>
          <w:p>
            <w:pPr>
              <w:jc w:val="right"/>
              <w:spacing w:after="0"/>
              <w:rPr>
                <w:sz w:val="20"/>
                <w:szCs w:val="20"/>
                <w:color w:val="auto"/>
              </w:rPr>
            </w:pPr>
            <w:r>
              <w:rPr>
                <w:rFonts w:ascii="Times New Roman" w:cs="Times New Roman" w:eastAsia="Times New Roman" w:hAnsi="Times New Roman"/>
                <w:sz w:val="20"/>
                <w:szCs w:val="20"/>
                <w:color w:val="auto"/>
              </w:rPr>
              <w:t>2,021,704</w:t>
            </w:r>
          </w:p>
        </w:tc>
        <w:tc>
          <w:tcPr>
            <w:tcW w:w="0" w:type="dxa"/>
            <w:vAlign w:val="bottom"/>
          </w:tcPr>
          <w:p>
            <w:pPr>
              <w:spacing w:after="0"/>
              <w:rPr>
                <w:sz w:val="1"/>
                <w:szCs w:val="1"/>
                <w:color w:val="auto"/>
              </w:rPr>
            </w:pPr>
          </w:p>
        </w:tc>
      </w:tr>
      <w:tr>
        <w:trPr>
          <w:trHeight w:val="250"/>
        </w:trPr>
        <w:tc>
          <w:tcPr>
            <w:tcW w:w="4420" w:type="dxa"/>
            <w:vAlign w:val="bottom"/>
          </w:tcPr>
          <w:p>
            <w:pPr>
              <w:spacing w:after="0"/>
              <w:rPr>
                <w:sz w:val="20"/>
                <w:szCs w:val="20"/>
                <w:color w:val="auto"/>
              </w:rPr>
            </w:pPr>
            <w:r>
              <w:rPr>
                <w:rFonts w:ascii="Times New Roman" w:cs="Times New Roman" w:eastAsia="Times New Roman" w:hAnsi="Times New Roman"/>
                <w:sz w:val="20"/>
                <w:szCs w:val="20"/>
                <w:color w:val="auto"/>
              </w:rPr>
              <w:t>Service revenues and sales</w:t>
            </w:r>
          </w:p>
        </w:tc>
        <w:tc>
          <w:tcPr>
            <w:tcW w:w="26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bottom w:val="single" w:sz="8" w:color="auto"/>
            </w:tcBorders>
            <w:vMerge w:val="continue"/>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20"/>
                <w:szCs w:val="20"/>
                <w:color w:val="auto"/>
                <w:w w:val="79"/>
              </w:rPr>
              <w:t>$</w:t>
            </w:r>
          </w:p>
        </w:tc>
        <w:tc>
          <w:tcPr>
            <w:tcW w:w="860" w:type="dxa"/>
            <w:vAlign w:val="bottom"/>
            <w:tcBorders>
              <w:bottom w:val="single" w:sz="8" w:color="auto"/>
            </w:tcBorders>
            <w:vMerge w:val="continue"/>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68"/>
        </w:trPr>
        <w:tc>
          <w:tcPr>
            <w:tcW w:w="4420" w:type="dxa"/>
            <w:vAlign w:val="bottom"/>
          </w:tcPr>
          <w:p>
            <w:pPr>
              <w:spacing w:after="0"/>
              <w:rPr>
                <w:sz w:val="20"/>
                <w:szCs w:val="20"/>
                <w:color w:val="auto"/>
              </w:rPr>
            </w:pPr>
            <w:r>
              <w:rPr>
                <w:rFonts w:ascii="Times New Roman" w:cs="Times New Roman" w:eastAsia="Times New Roman" w:hAnsi="Times New Roman"/>
                <w:sz w:val="20"/>
                <w:szCs w:val="20"/>
                <w:color w:val="auto"/>
              </w:rPr>
              <w:t>Cost of services provided and goods sold</w:t>
            </w:r>
          </w:p>
        </w:tc>
        <w:tc>
          <w:tcPr>
            <w:tcW w:w="2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1,005,150</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346,357</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1,351,507</w:t>
            </w:r>
          </w:p>
        </w:tc>
        <w:tc>
          <w:tcPr>
            <w:tcW w:w="0" w:type="dxa"/>
            <w:vAlign w:val="bottom"/>
          </w:tcPr>
          <w:p>
            <w:pPr>
              <w:spacing w:after="0"/>
              <w:rPr>
                <w:sz w:val="1"/>
                <w:szCs w:val="1"/>
                <w:color w:val="auto"/>
              </w:rPr>
            </w:pPr>
          </w:p>
        </w:tc>
      </w:tr>
      <w:tr>
        <w:trPr>
          <w:trHeight w:val="270"/>
        </w:trPr>
        <w:tc>
          <w:tcPr>
            <w:tcW w:w="4420" w:type="dxa"/>
            <w:vAlign w:val="bottom"/>
          </w:tcPr>
          <w:p>
            <w:pPr>
              <w:spacing w:after="0"/>
              <w:rPr>
                <w:sz w:val="20"/>
                <w:szCs w:val="20"/>
                <w:color w:val="auto"/>
              </w:rPr>
            </w:pPr>
            <w:r>
              <w:rPr>
                <w:rFonts w:ascii="Times New Roman" w:cs="Times New Roman" w:eastAsia="Times New Roman" w:hAnsi="Times New Roman"/>
                <w:sz w:val="20"/>
                <w:szCs w:val="20"/>
                <w:color w:val="auto"/>
              </w:rPr>
              <w:t>Selling, general and administrative expenses</w:t>
            </w:r>
          </w:p>
        </w:tc>
        <w:tc>
          <w:tcPr>
            <w:tcW w:w="2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75,314</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206,335</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59,344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340,993</w:t>
            </w:r>
          </w:p>
        </w:tc>
        <w:tc>
          <w:tcPr>
            <w:tcW w:w="0" w:type="dxa"/>
            <w:vAlign w:val="bottom"/>
          </w:tcPr>
          <w:p>
            <w:pPr>
              <w:spacing w:after="0"/>
              <w:rPr>
                <w:sz w:val="1"/>
                <w:szCs w:val="1"/>
                <w:color w:val="auto"/>
              </w:rPr>
            </w:pPr>
          </w:p>
        </w:tc>
      </w:tr>
      <w:tr>
        <w:trPr>
          <w:trHeight w:val="270"/>
        </w:trPr>
        <w:tc>
          <w:tcPr>
            <w:tcW w:w="4420" w:type="dxa"/>
            <w:vAlign w:val="bottom"/>
          </w:tcPr>
          <w:p>
            <w:pPr>
              <w:spacing w:after="0"/>
              <w:rPr>
                <w:sz w:val="20"/>
                <w:szCs w:val="20"/>
                <w:color w:val="auto"/>
              </w:rPr>
            </w:pPr>
            <w:r>
              <w:rPr>
                <w:rFonts w:ascii="Times New Roman" w:cs="Times New Roman" w:eastAsia="Times New Roman" w:hAnsi="Times New Roman"/>
                <w:sz w:val="20"/>
                <w:szCs w:val="20"/>
                <w:color w:val="auto"/>
              </w:rPr>
              <w:t>Depreciation</w:t>
            </w:r>
          </w:p>
        </w:tc>
        <w:tc>
          <w:tcPr>
            <w:tcW w:w="2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17,484</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25,477</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42,997</w:t>
            </w:r>
          </w:p>
        </w:tc>
        <w:tc>
          <w:tcPr>
            <w:tcW w:w="0" w:type="dxa"/>
            <w:vAlign w:val="bottom"/>
          </w:tcPr>
          <w:p>
            <w:pPr>
              <w:spacing w:after="0"/>
              <w:rPr>
                <w:sz w:val="1"/>
                <w:szCs w:val="1"/>
                <w:color w:val="auto"/>
              </w:rPr>
            </w:pPr>
          </w:p>
        </w:tc>
      </w:tr>
      <w:tr>
        <w:trPr>
          <w:trHeight w:val="270"/>
        </w:trPr>
        <w:tc>
          <w:tcPr>
            <w:tcW w:w="4420" w:type="dxa"/>
            <w:vAlign w:val="bottom"/>
          </w:tcPr>
          <w:p>
            <w:pPr>
              <w:spacing w:after="0"/>
              <w:rPr>
                <w:sz w:val="20"/>
                <w:szCs w:val="20"/>
                <w:color w:val="auto"/>
              </w:rPr>
            </w:pPr>
            <w:r>
              <w:rPr>
                <w:rFonts w:ascii="Times New Roman" w:cs="Times New Roman" w:eastAsia="Times New Roman" w:hAnsi="Times New Roman"/>
                <w:sz w:val="20"/>
                <w:szCs w:val="20"/>
                <w:color w:val="auto"/>
              </w:rPr>
              <w:t>Amortization</w:t>
            </w:r>
          </w:p>
        </w:tc>
        <w:tc>
          <w:tcPr>
            <w:tcW w:w="2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8,185</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8,263</w:t>
            </w:r>
          </w:p>
        </w:tc>
        <w:tc>
          <w:tcPr>
            <w:tcW w:w="0" w:type="dxa"/>
            <w:vAlign w:val="bottom"/>
          </w:tcPr>
          <w:p>
            <w:pPr>
              <w:spacing w:after="0"/>
              <w:rPr>
                <w:sz w:val="1"/>
                <w:szCs w:val="1"/>
                <w:color w:val="auto"/>
              </w:rPr>
            </w:pPr>
          </w:p>
        </w:tc>
      </w:tr>
      <w:tr>
        <w:trPr>
          <w:trHeight w:val="252"/>
        </w:trPr>
        <w:tc>
          <w:tcPr>
            <w:tcW w:w="4420" w:type="dxa"/>
            <w:vAlign w:val="bottom"/>
          </w:tcPr>
          <w:p>
            <w:pPr>
              <w:spacing w:after="0"/>
              <w:rPr>
                <w:sz w:val="20"/>
                <w:szCs w:val="20"/>
                <w:color w:val="auto"/>
              </w:rPr>
            </w:pPr>
            <w:r>
              <w:rPr>
                <w:rFonts w:ascii="Times New Roman" w:cs="Times New Roman" w:eastAsia="Times New Roman" w:hAnsi="Times New Roman"/>
                <w:sz w:val="20"/>
                <w:szCs w:val="20"/>
                <w:color w:val="auto"/>
              </w:rPr>
              <w:t>Other operating expense</w:t>
            </w:r>
          </w:p>
        </w:tc>
        <w:tc>
          <w:tcPr>
            <w:tcW w:w="2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7,432</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78</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230</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7,740</w:t>
            </w:r>
          </w:p>
        </w:tc>
        <w:tc>
          <w:tcPr>
            <w:tcW w:w="0" w:type="dxa"/>
            <w:vAlign w:val="bottom"/>
          </w:tcPr>
          <w:p>
            <w:pPr>
              <w:spacing w:after="0"/>
              <w:rPr>
                <w:sz w:val="1"/>
                <w:szCs w:val="1"/>
                <w:color w:val="auto"/>
              </w:rPr>
            </w:pPr>
          </w:p>
        </w:tc>
      </w:tr>
      <w:tr>
        <w:trPr>
          <w:trHeight w:val="250"/>
        </w:trPr>
        <w:tc>
          <w:tcPr>
            <w:tcW w:w="44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Total costs and expenses</w:t>
            </w:r>
          </w:p>
        </w:tc>
        <w:tc>
          <w:tcPr>
            <w:tcW w:w="2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1,105,458</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586,432</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59,610</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1,751,500</w:t>
            </w:r>
          </w:p>
        </w:tc>
        <w:tc>
          <w:tcPr>
            <w:tcW w:w="0" w:type="dxa"/>
            <w:vAlign w:val="bottom"/>
          </w:tcPr>
          <w:p>
            <w:pPr>
              <w:spacing w:after="0"/>
              <w:rPr>
                <w:sz w:val="1"/>
                <w:szCs w:val="1"/>
                <w:color w:val="auto"/>
              </w:rPr>
            </w:pPr>
          </w:p>
        </w:tc>
      </w:tr>
      <w:tr>
        <w:trPr>
          <w:trHeight w:val="268"/>
        </w:trPr>
        <w:tc>
          <w:tcPr>
            <w:tcW w:w="44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Income/(loss) from operations</w:t>
            </w:r>
          </w:p>
        </w:tc>
        <w:tc>
          <w:tcPr>
            <w:tcW w:w="2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215,304</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114,510</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(59,610)</w:t>
            </w: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270,204</w:t>
            </w:r>
          </w:p>
        </w:tc>
        <w:tc>
          <w:tcPr>
            <w:tcW w:w="0" w:type="dxa"/>
            <w:vAlign w:val="bottom"/>
          </w:tcPr>
          <w:p>
            <w:pPr>
              <w:spacing w:after="0"/>
              <w:rPr>
                <w:sz w:val="1"/>
                <w:szCs w:val="1"/>
                <w:color w:val="auto"/>
              </w:rPr>
            </w:pPr>
          </w:p>
        </w:tc>
      </w:tr>
      <w:tr>
        <w:trPr>
          <w:trHeight w:val="270"/>
        </w:trPr>
        <w:tc>
          <w:tcPr>
            <w:tcW w:w="4420" w:type="dxa"/>
            <w:vAlign w:val="bottom"/>
          </w:tcPr>
          <w:p>
            <w:pPr>
              <w:spacing w:after="0"/>
              <w:rPr>
                <w:sz w:val="20"/>
                <w:szCs w:val="20"/>
                <w:color w:val="auto"/>
              </w:rPr>
            </w:pPr>
            <w:r>
              <w:rPr>
                <w:rFonts w:ascii="Times New Roman" w:cs="Times New Roman" w:eastAsia="Times New Roman" w:hAnsi="Times New Roman"/>
                <w:sz w:val="20"/>
                <w:szCs w:val="20"/>
                <w:color w:val="auto"/>
              </w:rPr>
              <w:t>Interest expense</w:t>
            </w:r>
          </w:p>
        </w:tc>
        <w:tc>
          <w:tcPr>
            <w:tcW w:w="260" w:type="dxa"/>
            <w:vAlign w:val="bottom"/>
          </w:tcPr>
          <w:p>
            <w:pPr>
              <w:spacing w:after="0"/>
              <w:rPr>
                <w:sz w:val="23"/>
                <w:szCs w:val="23"/>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(158)</w:t>
            </w: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(466)</w:t>
            </w: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(3,774)</w:t>
            </w: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(4,398)</w:t>
            </w:r>
          </w:p>
        </w:tc>
        <w:tc>
          <w:tcPr>
            <w:tcW w:w="0" w:type="dxa"/>
            <w:vAlign w:val="bottom"/>
          </w:tcPr>
          <w:p>
            <w:pPr>
              <w:spacing w:after="0"/>
              <w:rPr>
                <w:sz w:val="1"/>
                <w:szCs w:val="1"/>
                <w:color w:val="auto"/>
              </w:rPr>
            </w:pPr>
          </w:p>
        </w:tc>
      </w:tr>
      <w:tr>
        <w:trPr>
          <w:trHeight w:val="270"/>
        </w:trPr>
        <w:tc>
          <w:tcPr>
            <w:tcW w:w="4420" w:type="dxa"/>
            <w:vAlign w:val="bottom"/>
          </w:tcPr>
          <w:p>
            <w:pPr>
              <w:spacing w:after="0"/>
              <w:rPr>
                <w:sz w:val="20"/>
                <w:szCs w:val="20"/>
                <w:color w:val="auto"/>
              </w:rPr>
            </w:pPr>
            <w:r>
              <w:rPr>
                <w:rFonts w:ascii="Times New Roman" w:cs="Times New Roman" w:eastAsia="Times New Roman" w:hAnsi="Times New Roman"/>
                <w:sz w:val="20"/>
                <w:szCs w:val="20"/>
                <w:color w:val="auto"/>
              </w:rPr>
              <w:t>Intercompany interest income/(expense)</w:t>
            </w:r>
          </w:p>
        </w:tc>
        <w:tc>
          <w:tcPr>
            <w:tcW w:w="2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19,484</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13,661</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(33,145)</w:t>
            </w: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2"/>
        </w:trPr>
        <w:tc>
          <w:tcPr>
            <w:tcW w:w="4420" w:type="dxa"/>
            <w:vAlign w:val="bottom"/>
          </w:tcPr>
          <w:p>
            <w:pPr>
              <w:spacing w:after="0"/>
              <w:rPr>
                <w:sz w:val="20"/>
                <w:szCs w:val="20"/>
                <w:color w:val="auto"/>
              </w:rPr>
            </w:pPr>
            <w:r>
              <w:rPr>
                <w:rFonts w:ascii="Times New Roman" w:cs="Times New Roman" w:eastAsia="Times New Roman" w:hAnsi="Times New Roman"/>
                <w:sz w:val="20"/>
                <w:szCs w:val="20"/>
                <w:color w:val="auto"/>
              </w:rPr>
              <w:t>Other income—net</w:t>
            </w:r>
          </w:p>
        </w:tc>
        <w:tc>
          <w:tcPr>
            <w:tcW w:w="2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285</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10,755</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11,071</w:t>
            </w:r>
          </w:p>
        </w:tc>
        <w:tc>
          <w:tcPr>
            <w:tcW w:w="0" w:type="dxa"/>
            <w:vAlign w:val="bottom"/>
          </w:tcPr>
          <w:p>
            <w:pPr>
              <w:spacing w:after="0"/>
              <w:rPr>
                <w:sz w:val="1"/>
                <w:szCs w:val="1"/>
                <w:color w:val="auto"/>
              </w:rPr>
            </w:pPr>
          </w:p>
        </w:tc>
      </w:tr>
      <w:tr>
        <w:trPr>
          <w:trHeight w:val="268"/>
        </w:trPr>
        <w:tc>
          <w:tcPr>
            <w:tcW w:w="44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Income/(loss) before income taxes</w:t>
            </w:r>
          </w:p>
        </w:tc>
        <w:tc>
          <w:tcPr>
            <w:tcW w:w="2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234,915</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127,736</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(85,774)</w:t>
            </w: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276,877</w:t>
            </w:r>
          </w:p>
        </w:tc>
        <w:tc>
          <w:tcPr>
            <w:tcW w:w="0" w:type="dxa"/>
            <w:vAlign w:val="bottom"/>
          </w:tcPr>
          <w:p>
            <w:pPr>
              <w:spacing w:after="0"/>
              <w:rPr>
                <w:sz w:val="1"/>
                <w:szCs w:val="1"/>
                <w:color w:val="auto"/>
              </w:rPr>
            </w:pPr>
          </w:p>
        </w:tc>
      </w:tr>
      <w:tr>
        <w:trPr>
          <w:trHeight w:val="252"/>
        </w:trPr>
        <w:tc>
          <w:tcPr>
            <w:tcW w:w="4420" w:type="dxa"/>
            <w:vAlign w:val="bottom"/>
          </w:tcPr>
          <w:p>
            <w:pPr>
              <w:spacing w:after="0"/>
              <w:rPr>
                <w:sz w:val="20"/>
                <w:szCs w:val="20"/>
                <w:color w:val="auto"/>
              </w:rPr>
            </w:pPr>
            <w:r>
              <w:rPr>
                <w:rFonts w:ascii="Times New Roman" w:cs="Times New Roman" w:eastAsia="Times New Roman" w:hAnsi="Times New Roman"/>
                <w:sz w:val="20"/>
                <w:szCs w:val="20"/>
                <w:color w:val="auto"/>
              </w:rPr>
              <w:t>Income taxes</w:t>
            </w:r>
          </w:p>
        </w:tc>
        <w:tc>
          <w:tcPr>
            <w:tcW w:w="260" w:type="dxa"/>
            <w:vAlign w:val="bottom"/>
          </w:tcPr>
          <w:p>
            <w:pPr>
              <w:spacing w:after="0"/>
              <w:rPr>
                <w:sz w:val="21"/>
                <w:szCs w:val="21"/>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(56,088)</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(29,899)</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14,763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(71,224)</w:t>
            </w:r>
          </w:p>
        </w:tc>
        <w:tc>
          <w:tcPr>
            <w:tcW w:w="0" w:type="dxa"/>
            <w:vAlign w:val="bottom"/>
          </w:tcPr>
          <w:p>
            <w:pPr>
              <w:spacing w:after="0"/>
              <w:rPr>
                <w:sz w:val="1"/>
                <w:szCs w:val="1"/>
                <w:color w:val="auto"/>
              </w:rPr>
            </w:pPr>
          </w:p>
        </w:tc>
      </w:tr>
      <w:tr>
        <w:trPr>
          <w:trHeight w:val="243"/>
        </w:trPr>
        <w:tc>
          <w:tcPr>
            <w:tcW w:w="44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Net income/(loss)</w:t>
            </w:r>
          </w:p>
        </w:tc>
        <w:tc>
          <w:tcPr>
            <w:tcW w:w="260" w:type="dxa"/>
            <w:vAlign w:val="bottom"/>
            <w:tcBorders>
              <w:top w:val="single" w:sz="8" w:color="auto"/>
              <w:bottom w:val="single" w:sz="8" w:color="auto"/>
            </w:tcBorders>
          </w:tcPr>
          <w:p>
            <w:pPr>
              <w:jc w:val="right"/>
              <w:ind w:right="61"/>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178,827</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61"/>
              <w:spacing w:after="0"/>
              <w:rPr>
                <w:sz w:val="20"/>
                <w:szCs w:val="20"/>
                <w:color w:val="auto"/>
              </w:rPr>
            </w:pPr>
            <w:r>
              <w:rPr>
                <w:rFonts w:ascii="Times New Roman" w:cs="Times New Roman" w:eastAsia="Times New Roman" w:hAnsi="Times New Roman"/>
                <w:sz w:val="20"/>
                <w:szCs w:val="20"/>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97,837</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(71,011)</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205,653</w:t>
            </w:r>
          </w:p>
        </w:tc>
        <w:tc>
          <w:tcPr>
            <w:tcW w:w="0" w:type="dxa"/>
            <w:vAlign w:val="bottom"/>
          </w:tcPr>
          <w:p>
            <w:pPr>
              <w:spacing w:after="0"/>
              <w:rPr>
                <w:sz w:val="1"/>
                <w:szCs w:val="1"/>
                <w:color w:val="auto"/>
              </w:rPr>
            </w:pPr>
          </w:p>
        </w:tc>
      </w:tr>
      <w:tr>
        <w:trPr>
          <w:trHeight w:val="527"/>
        </w:trPr>
        <w:tc>
          <w:tcPr>
            <w:tcW w:w="4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2025 (b)</w:t>
            </w:r>
          </w:p>
        </w:tc>
        <w:tc>
          <w:tcPr>
            <w:tcW w:w="260" w:type="dxa"/>
            <w:vAlign w:val="bottom"/>
          </w:tcPr>
          <w:p>
            <w:pPr>
              <w:spacing w:after="0"/>
              <w:rPr>
                <w:sz w:val="24"/>
                <w:szCs w:val="24"/>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1,211,341</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679,300</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1,890,641</w:t>
            </w:r>
          </w:p>
        </w:tc>
        <w:tc>
          <w:tcPr>
            <w:tcW w:w="0" w:type="dxa"/>
            <w:vAlign w:val="bottom"/>
          </w:tcPr>
          <w:p>
            <w:pPr>
              <w:spacing w:after="0"/>
              <w:rPr>
                <w:sz w:val="1"/>
                <w:szCs w:val="1"/>
                <w:color w:val="auto"/>
              </w:rPr>
            </w:pPr>
          </w:p>
        </w:tc>
      </w:tr>
      <w:tr>
        <w:trPr>
          <w:trHeight w:val="250"/>
        </w:trPr>
        <w:tc>
          <w:tcPr>
            <w:tcW w:w="4420" w:type="dxa"/>
            <w:vAlign w:val="bottom"/>
          </w:tcPr>
          <w:p>
            <w:pPr>
              <w:spacing w:after="0"/>
              <w:rPr>
                <w:sz w:val="20"/>
                <w:szCs w:val="20"/>
                <w:color w:val="auto"/>
              </w:rPr>
            </w:pPr>
            <w:r>
              <w:rPr>
                <w:rFonts w:ascii="Times New Roman" w:cs="Times New Roman" w:eastAsia="Times New Roman" w:hAnsi="Times New Roman"/>
                <w:sz w:val="20"/>
                <w:szCs w:val="20"/>
                <w:color w:val="auto"/>
              </w:rPr>
              <w:t>Service revenues and sales</w:t>
            </w:r>
          </w:p>
        </w:tc>
        <w:tc>
          <w:tcPr>
            <w:tcW w:w="26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bottom w:val="single" w:sz="8" w:color="auto"/>
            </w:tcBorders>
            <w:vMerge w:val="continue"/>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20"/>
                <w:szCs w:val="20"/>
                <w:color w:val="auto"/>
                <w:w w:val="79"/>
              </w:rPr>
              <w:t>$</w:t>
            </w:r>
          </w:p>
        </w:tc>
        <w:tc>
          <w:tcPr>
            <w:tcW w:w="860" w:type="dxa"/>
            <w:vAlign w:val="bottom"/>
            <w:tcBorders>
              <w:bottom w:val="single" w:sz="8" w:color="auto"/>
            </w:tcBorders>
            <w:vMerge w:val="continue"/>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68"/>
        </w:trPr>
        <w:tc>
          <w:tcPr>
            <w:tcW w:w="4420" w:type="dxa"/>
            <w:vAlign w:val="bottom"/>
          </w:tcPr>
          <w:p>
            <w:pPr>
              <w:spacing w:after="0"/>
              <w:rPr>
                <w:sz w:val="20"/>
                <w:szCs w:val="20"/>
                <w:color w:val="auto"/>
              </w:rPr>
            </w:pPr>
            <w:r>
              <w:rPr>
                <w:rFonts w:ascii="Times New Roman" w:cs="Times New Roman" w:eastAsia="Times New Roman" w:hAnsi="Times New Roman"/>
                <w:sz w:val="20"/>
                <w:szCs w:val="20"/>
                <w:color w:val="auto"/>
              </w:rPr>
              <w:t>Cost of services provided and goods sold</w:t>
            </w:r>
          </w:p>
        </w:tc>
        <w:tc>
          <w:tcPr>
            <w:tcW w:w="2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951,466</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338,312</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1,289,778</w:t>
            </w:r>
          </w:p>
        </w:tc>
        <w:tc>
          <w:tcPr>
            <w:tcW w:w="0" w:type="dxa"/>
            <w:vAlign w:val="bottom"/>
          </w:tcPr>
          <w:p>
            <w:pPr>
              <w:spacing w:after="0"/>
              <w:rPr>
                <w:sz w:val="1"/>
                <w:szCs w:val="1"/>
                <w:color w:val="auto"/>
              </w:rPr>
            </w:pPr>
          </w:p>
        </w:tc>
      </w:tr>
      <w:tr>
        <w:trPr>
          <w:trHeight w:val="270"/>
        </w:trPr>
        <w:tc>
          <w:tcPr>
            <w:tcW w:w="4420" w:type="dxa"/>
            <w:vAlign w:val="bottom"/>
          </w:tcPr>
          <w:p>
            <w:pPr>
              <w:spacing w:after="0"/>
              <w:rPr>
                <w:sz w:val="20"/>
                <w:szCs w:val="20"/>
                <w:color w:val="auto"/>
              </w:rPr>
            </w:pPr>
            <w:r>
              <w:rPr>
                <w:rFonts w:ascii="Times New Roman" w:cs="Times New Roman" w:eastAsia="Times New Roman" w:hAnsi="Times New Roman"/>
                <w:sz w:val="20"/>
                <w:szCs w:val="20"/>
                <w:color w:val="auto"/>
              </w:rPr>
              <w:t>Selling, general and administrative expenses</w:t>
            </w:r>
          </w:p>
        </w:tc>
        <w:tc>
          <w:tcPr>
            <w:tcW w:w="2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76,861</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183,856</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50,968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311,685</w:t>
            </w:r>
          </w:p>
        </w:tc>
        <w:tc>
          <w:tcPr>
            <w:tcW w:w="0" w:type="dxa"/>
            <w:vAlign w:val="bottom"/>
          </w:tcPr>
          <w:p>
            <w:pPr>
              <w:spacing w:after="0"/>
              <w:rPr>
                <w:sz w:val="1"/>
                <w:szCs w:val="1"/>
                <w:color w:val="auto"/>
              </w:rPr>
            </w:pPr>
          </w:p>
        </w:tc>
      </w:tr>
      <w:tr>
        <w:trPr>
          <w:trHeight w:val="270"/>
        </w:trPr>
        <w:tc>
          <w:tcPr>
            <w:tcW w:w="4420" w:type="dxa"/>
            <w:vAlign w:val="bottom"/>
          </w:tcPr>
          <w:p>
            <w:pPr>
              <w:spacing w:after="0"/>
              <w:rPr>
                <w:sz w:val="20"/>
                <w:szCs w:val="20"/>
                <w:color w:val="auto"/>
              </w:rPr>
            </w:pPr>
            <w:r>
              <w:rPr>
                <w:rFonts w:ascii="Times New Roman" w:cs="Times New Roman" w:eastAsia="Times New Roman" w:hAnsi="Times New Roman"/>
                <w:sz w:val="20"/>
                <w:szCs w:val="20"/>
                <w:color w:val="auto"/>
              </w:rPr>
              <w:t>Depreciation</w:t>
            </w:r>
          </w:p>
        </w:tc>
        <w:tc>
          <w:tcPr>
            <w:tcW w:w="2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15,863</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24,899</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40,798</w:t>
            </w:r>
          </w:p>
        </w:tc>
        <w:tc>
          <w:tcPr>
            <w:tcW w:w="0" w:type="dxa"/>
            <w:vAlign w:val="bottom"/>
          </w:tcPr>
          <w:p>
            <w:pPr>
              <w:spacing w:after="0"/>
              <w:rPr>
                <w:sz w:val="1"/>
                <w:szCs w:val="1"/>
                <w:color w:val="auto"/>
              </w:rPr>
            </w:pPr>
          </w:p>
        </w:tc>
      </w:tr>
      <w:tr>
        <w:trPr>
          <w:trHeight w:val="270"/>
        </w:trPr>
        <w:tc>
          <w:tcPr>
            <w:tcW w:w="4420" w:type="dxa"/>
            <w:vAlign w:val="bottom"/>
          </w:tcPr>
          <w:p>
            <w:pPr>
              <w:spacing w:after="0"/>
              <w:rPr>
                <w:sz w:val="20"/>
                <w:szCs w:val="20"/>
                <w:color w:val="auto"/>
              </w:rPr>
            </w:pPr>
            <w:r>
              <w:rPr>
                <w:rFonts w:ascii="Times New Roman" w:cs="Times New Roman" w:eastAsia="Times New Roman" w:hAnsi="Times New Roman"/>
                <w:sz w:val="20"/>
                <w:szCs w:val="20"/>
                <w:color w:val="auto"/>
              </w:rPr>
              <w:t>Amortization</w:t>
            </w:r>
          </w:p>
        </w:tc>
        <w:tc>
          <w:tcPr>
            <w:tcW w:w="2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7,635</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7,713</w:t>
            </w:r>
          </w:p>
        </w:tc>
        <w:tc>
          <w:tcPr>
            <w:tcW w:w="0" w:type="dxa"/>
            <w:vAlign w:val="bottom"/>
          </w:tcPr>
          <w:p>
            <w:pPr>
              <w:spacing w:after="0"/>
              <w:rPr>
                <w:sz w:val="1"/>
                <w:szCs w:val="1"/>
                <w:color w:val="auto"/>
              </w:rPr>
            </w:pPr>
          </w:p>
        </w:tc>
      </w:tr>
      <w:tr>
        <w:trPr>
          <w:trHeight w:val="252"/>
        </w:trPr>
        <w:tc>
          <w:tcPr>
            <w:tcW w:w="4420" w:type="dxa"/>
            <w:vAlign w:val="bottom"/>
          </w:tcPr>
          <w:p>
            <w:pPr>
              <w:spacing w:after="0"/>
              <w:rPr>
                <w:sz w:val="20"/>
                <w:szCs w:val="20"/>
                <w:color w:val="auto"/>
              </w:rPr>
            </w:pPr>
            <w:r>
              <w:rPr>
                <w:rFonts w:ascii="Times New Roman" w:cs="Times New Roman" w:eastAsia="Times New Roman" w:hAnsi="Times New Roman"/>
                <w:sz w:val="20"/>
                <w:szCs w:val="20"/>
                <w:color w:val="auto"/>
              </w:rPr>
              <w:t>Other operating expense/(income)</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3,155</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(80)</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3,075</w:t>
            </w:r>
          </w:p>
        </w:tc>
        <w:tc>
          <w:tcPr>
            <w:tcW w:w="0" w:type="dxa"/>
            <w:vAlign w:val="bottom"/>
          </w:tcPr>
          <w:p>
            <w:pPr>
              <w:spacing w:after="0"/>
              <w:rPr>
                <w:sz w:val="1"/>
                <w:szCs w:val="1"/>
                <w:color w:val="auto"/>
              </w:rPr>
            </w:pPr>
          </w:p>
        </w:tc>
      </w:tr>
      <w:tr>
        <w:trPr>
          <w:trHeight w:val="250"/>
        </w:trPr>
        <w:tc>
          <w:tcPr>
            <w:tcW w:w="44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Total costs and expenses</w:t>
            </w:r>
          </w:p>
        </w:tc>
        <w:tc>
          <w:tcPr>
            <w:tcW w:w="26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1,047,423</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554,622</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51,004</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1,653,049</w:t>
            </w:r>
          </w:p>
        </w:tc>
        <w:tc>
          <w:tcPr>
            <w:tcW w:w="0" w:type="dxa"/>
            <w:vAlign w:val="bottom"/>
          </w:tcPr>
          <w:p>
            <w:pPr>
              <w:spacing w:after="0"/>
              <w:rPr>
                <w:sz w:val="1"/>
                <w:szCs w:val="1"/>
                <w:color w:val="auto"/>
              </w:rPr>
            </w:pPr>
          </w:p>
        </w:tc>
      </w:tr>
      <w:tr>
        <w:trPr>
          <w:trHeight w:val="268"/>
        </w:trPr>
        <w:tc>
          <w:tcPr>
            <w:tcW w:w="44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Income/(loss) from operations</w:t>
            </w:r>
          </w:p>
        </w:tc>
        <w:tc>
          <w:tcPr>
            <w:tcW w:w="2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163,918</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124,678</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(51,004)</w:t>
            </w: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237,592</w:t>
            </w:r>
          </w:p>
        </w:tc>
        <w:tc>
          <w:tcPr>
            <w:tcW w:w="0" w:type="dxa"/>
            <w:vAlign w:val="bottom"/>
          </w:tcPr>
          <w:p>
            <w:pPr>
              <w:spacing w:after="0"/>
              <w:rPr>
                <w:sz w:val="1"/>
                <w:szCs w:val="1"/>
                <w:color w:val="auto"/>
              </w:rPr>
            </w:pPr>
          </w:p>
        </w:tc>
      </w:tr>
      <w:tr>
        <w:trPr>
          <w:trHeight w:val="270"/>
        </w:trPr>
        <w:tc>
          <w:tcPr>
            <w:tcW w:w="4420" w:type="dxa"/>
            <w:vAlign w:val="bottom"/>
          </w:tcPr>
          <w:p>
            <w:pPr>
              <w:spacing w:after="0"/>
              <w:rPr>
                <w:sz w:val="20"/>
                <w:szCs w:val="20"/>
                <w:color w:val="auto"/>
              </w:rPr>
            </w:pPr>
            <w:r>
              <w:rPr>
                <w:rFonts w:ascii="Times New Roman" w:cs="Times New Roman" w:eastAsia="Times New Roman" w:hAnsi="Times New Roman"/>
                <w:sz w:val="20"/>
                <w:szCs w:val="20"/>
                <w:color w:val="auto"/>
              </w:rPr>
              <w:t>Interest expense</w:t>
            </w:r>
          </w:p>
        </w:tc>
        <w:tc>
          <w:tcPr>
            <w:tcW w:w="260" w:type="dxa"/>
            <w:vAlign w:val="bottom"/>
          </w:tcPr>
          <w:p>
            <w:pPr>
              <w:spacing w:after="0"/>
              <w:rPr>
                <w:sz w:val="23"/>
                <w:szCs w:val="23"/>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(150)</w:t>
            </w: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(394)</w:t>
            </w: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(685)</w:t>
            </w: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(1,229)</w:t>
            </w:r>
          </w:p>
        </w:tc>
        <w:tc>
          <w:tcPr>
            <w:tcW w:w="0" w:type="dxa"/>
            <w:vAlign w:val="bottom"/>
          </w:tcPr>
          <w:p>
            <w:pPr>
              <w:spacing w:after="0"/>
              <w:rPr>
                <w:sz w:val="1"/>
                <w:szCs w:val="1"/>
                <w:color w:val="auto"/>
              </w:rPr>
            </w:pPr>
          </w:p>
        </w:tc>
      </w:tr>
      <w:tr>
        <w:trPr>
          <w:trHeight w:val="270"/>
        </w:trPr>
        <w:tc>
          <w:tcPr>
            <w:tcW w:w="4420" w:type="dxa"/>
            <w:vAlign w:val="bottom"/>
          </w:tcPr>
          <w:p>
            <w:pPr>
              <w:spacing w:after="0"/>
              <w:rPr>
                <w:sz w:val="20"/>
                <w:szCs w:val="20"/>
                <w:color w:val="auto"/>
              </w:rPr>
            </w:pPr>
            <w:r>
              <w:rPr>
                <w:rFonts w:ascii="Times New Roman" w:cs="Times New Roman" w:eastAsia="Times New Roman" w:hAnsi="Times New Roman"/>
                <w:sz w:val="20"/>
                <w:szCs w:val="20"/>
                <w:color w:val="auto"/>
              </w:rPr>
              <w:t>Intercompany interest income/(expense)</w:t>
            </w:r>
          </w:p>
        </w:tc>
        <w:tc>
          <w:tcPr>
            <w:tcW w:w="2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16,436</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11,930</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(28,366)</w:t>
            </w: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2"/>
        </w:trPr>
        <w:tc>
          <w:tcPr>
            <w:tcW w:w="4420" w:type="dxa"/>
            <w:vAlign w:val="bottom"/>
          </w:tcPr>
          <w:p>
            <w:pPr>
              <w:spacing w:after="0"/>
              <w:rPr>
                <w:sz w:val="20"/>
                <w:szCs w:val="20"/>
                <w:color w:val="auto"/>
              </w:rPr>
            </w:pPr>
            <w:r>
              <w:rPr>
                <w:rFonts w:ascii="Times New Roman" w:cs="Times New Roman" w:eastAsia="Times New Roman" w:hAnsi="Times New Roman"/>
                <w:sz w:val="20"/>
                <w:szCs w:val="20"/>
                <w:color w:val="auto"/>
              </w:rPr>
              <w:t>Other income—net</w:t>
            </w:r>
          </w:p>
        </w:tc>
        <w:tc>
          <w:tcPr>
            <w:tcW w:w="2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170</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58</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13,742</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13,970</w:t>
            </w:r>
          </w:p>
        </w:tc>
        <w:tc>
          <w:tcPr>
            <w:tcW w:w="0" w:type="dxa"/>
            <w:vAlign w:val="bottom"/>
          </w:tcPr>
          <w:p>
            <w:pPr>
              <w:spacing w:after="0"/>
              <w:rPr>
                <w:sz w:val="1"/>
                <w:szCs w:val="1"/>
                <w:color w:val="auto"/>
              </w:rPr>
            </w:pPr>
          </w:p>
        </w:tc>
      </w:tr>
      <w:tr>
        <w:trPr>
          <w:trHeight w:val="268"/>
        </w:trPr>
        <w:tc>
          <w:tcPr>
            <w:tcW w:w="44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Income/(loss) before income taxes</w:t>
            </w:r>
          </w:p>
        </w:tc>
        <w:tc>
          <w:tcPr>
            <w:tcW w:w="2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180,374</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136,272</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(66,313)</w:t>
            </w: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250,333</w:t>
            </w:r>
          </w:p>
        </w:tc>
        <w:tc>
          <w:tcPr>
            <w:tcW w:w="0" w:type="dxa"/>
            <w:vAlign w:val="bottom"/>
          </w:tcPr>
          <w:p>
            <w:pPr>
              <w:spacing w:after="0"/>
              <w:rPr>
                <w:sz w:val="1"/>
                <w:szCs w:val="1"/>
                <w:color w:val="auto"/>
              </w:rPr>
            </w:pPr>
          </w:p>
        </w:tc>
      </w:tr>
      <w:tr>
        <w:trPr>
          <w:trHeight w:val="252"/>
        </w:trPr>
        <w:tc>
          <w:tcPr>
            <w:tcW w:w="4420" w:type="dxa"/>
            <w:vAlign w:val="bottom"/>
          </w:tcPr>
          <w:p>
            <w:pPr>
              <w:spacing w:after="0"/>
              <w:rPr>
                <w:sz w:val="20"/>
                <w:szCs w:val="20"/>
                <w:color w:val="auto"/>
              </w:rPr>
            </w:pPr>
            <w:r>
              <w:rPr>
                <w:rFonts w:ascii="Times New Roman" w:cs="Times New Roman" w:eastAsia="Times New Roman" w:hAnsi="Times New Roman"/>
                <w:sz w:val="20"/>
                <w:szCs w:val="20"/>
                <w:color w:val="auto"/>
              </w:rPr>
              <w:t>Income taxes</w:t>
            </w:r>
          </w:p>
        </w:tc>
        <w:tc>
          <w:tcPr>
            <w:tcW w:w="260" w:type="dxa"/>
            <w:vAlign w:val="bottom"/>
          </w:tcPr>
          <w:p>
            <w:pPr>
              <w:spacing w:after="0"/>
              <w:rPr>
                <w:sz w:val="21"/>
                <w:szCs w:val="21"/>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(45,353)</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(32,344)</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15,851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(61,846)</w:t>
            </w:r>
          </w:p>
        </w:tc>
        <w:tc>
          <w:tcPr>
            <w:tcW w:w="0" w:type="dxa"/>
            <w:vAlign w:val="bottom"/>
          </w:tcPr>
          <w:p>
            <w:pPr>
              <w:spacing w:after="0"/>
              <w:rPr>
                <w:sz w:val="1"/>
                <w:szCs w:val="1"/>
                <w:color w:val="auto"/>
              </w:rPr>
            </w:pPr>
          </w:p>
        </w:tc>
      </w:tr>
      <w:tr>
        <w:trPr>
          <w:trHeight w:val="243"/>
        </w:trPr>
        <w:tc>
          <w:tcPr>
            <w:tcW w:w="44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Net income/(loss)</w:t>
            </w:r>
          </w:p>
        </w:tc>
        <w:tc>
          <w:tcPr>
            <w:tcW w:w="260" w:type="dxa"/>
            <w:vAlign w:val="bottom"/>
            <w:tcBorders>
              <w:top w:val="single" w:sz="8" w:color="auto"/>
              <w:bottom w:val="single" w:sz="8" w:color="auto"/>
            </w:tcBorders>
          </w:tcPr>
          <w:p>
            <w:pPr>
              <w:jc w:val="right"/>
              <w:ind w:right="61"/>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135,021</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61"/>
              <w:spacing w:after="0"/>
              <w:rPr>
                <w:sz w:val="20"/>
                <w:szCs w:val="20"/>
                <w:color w:val="auto"/>
              </w:rPr>
            </w:pPr>
            <w:r>
              <w:rPr>
                <w:rFonts w:ascii="Times New Roman" w:cs="Times New Roman" w:eastAsia="Times New Roman" w:hAnsi="Times New Roman"/>
                <w:sz w:val="20"/>
                <w:szCs w:val="20"/>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103,928</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(50,462)</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188,487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"Footnotes to Financial Statements" are integral parts of this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267335</wp:posOffset>
            </wp:positionV>
            <wp:extent cx="6000115" cy="514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000115" cy="51435"/>
                    </a:xfrm>
                    <a:prstGeom prst="rect">
                      <a:avLst/>
                    </a:prstGeom>
                    <a:noFill/>
                  </pic:spPr>
                </pic:pic>
              </a:graphicData>
            </a:graphic>
          </wp:anchor>
        </w:drawing>
      </w:r>
    </w:p>
    <w:p>
      <w:pPr>
        <w:sectPr>
          <w:pgSz w:w="11900" w:h="16838" w:orient="portrait"/>
          <w:cols w:equalWidth="0" w:num="1">
            <w:col w:w="9479"/>
          </w:cols>
          <w:pgMar w:left="980" w:top="194" w:right="1440"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57"/>
        </w:trPr>
        <w:tc>
          <w:tcPr>
            <w:tcW w:w="7960" w:type="dxa"/>
            <w:vAlign w:val="bottom"/>
            <w:gridSpan w:val="13"/>
          </w:tcPr>
          <w:p>
            <w:pPr>
              <w:jc w:val="center"/>
              <w:ind w:left="1301"/>
              <w:spacing w:after="0"/>
              <w:rPr>
                <w:sz w:val="20"/>
                <w:szCs w:val="20"/>
                <w:color w:val="auto"/>
              </w:rPr>
            </w:pPr>
            <w:r>
              <w:rPr>
                <w:rFonts w:ascii="Times New Roman" w:cs="Times New Roman" w:eastAsia="Times New Roman" w:hAnsi="Times New Roman"/>
                <w:sz w:val="20"/>
                <w:szCs w:val="20"/>
                <w:b w:val="1"/>
                <w:bCs w:val="1"/>
                <w:color w:val="auto"/>
                <w:w w:val="97"/>
              </w:rPr>
              <w:t>CHEMED CORPORATION AND SUBSIDIARY COMPANIES</w:t>
            </w:r>
          </w:p>
        </w:tc>
        <w:tc>
          <w:tcPr>
            <w:tcW w:w="1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760" w:type="dxa"/>
            <w:vAlign w:val="bottom"/>
            <w:gridSpan w:val="9"/>
          </w:tcPr>
          <w:p>
            <w:pPr>
              <w:jc w:val="center"/>
              <w:ind w:left="2501"/>
              <w:spacing w:after="0"/>
              <w:rPr>
                <w:sz w:val="20"/>
                <w:szCs w:val="20"/>
                <w:color w:val="auto"/>
              </w:rPr>
            </w:pPr>
            <w:r>
              <w:rPr>
                <w:rFonts w:ascii="Times New Roman" w:cs="Times New Roman" w:eastAsia="Times New Roman" w:hAnsi="Times New Roman"/>
                <w:sz w:val="20"/>
                <w:szCs w:val="20"/>
                <w:b w:val="1"/>
                <w:bCs w:val="1"/>
                <w:color w:val="auto"/>
                <w:w w:val="98"/>
              </w:rPr>
              <w:t>CONSOLIDATING SUMMARIES OF EBITDA</w:t>
            </w: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7960" w:type="dxa"/>
            <w:vAlign w:val="bottom"/>
            <w:gridSpan w:val="13"/>
          </w:tcPr>
          <w:p>
            <w:pPr>
              <w:jc w:val="center"/>
              <w:ind w:left="1301"/>
              <w:spacing w:after="0"/>
              <w:rPr>
                <w:sz w:val="20"/>
                <w:szCs w:val="20"/>
                <w:color w:val="auto"/>
              </w:rPr>
            </w:pPr>
            <w:r>
              <w:rPr>
                <w:rFonts w:ascii="Times New Roman" w:cs="Times New Roman" w:eastAsia="Times New Roman" w:hAnsi="Times New Roman"/>
                <w:sz w:val="20"/>
                <w:szCs w:val="20"/>
                <w:b w:val="1"/>
                <w:bCs w:val="1"/>
                <w:color w:val="auto"/>
                <w:w w:val="98"/>
              </w:rPr>
              <w:t>FOR THREE MONTHS ENDED SEPTEMBER 30, 2026 AND 2025</w:t>
            </w:r>
          </w:p>
        </w:tc>
        <w:tc>
          <w:tcPr>
            <w:tcW w:w="1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640" w:type="dxa"/>
            <w:vAlign w:val="bottom"/>
          </w:tcPr>
          <w:p>
            <w:pPr>
              <w:spacing w:after="0"/>
              <w:rPr>
                <w:sz w:val="23"/>
                <w:szCs w:val="23"/>
                <w:color w:val="auto"/>
              </w:rPr>
            </w:pPr>
          </w:p>
        </w:tc>
        <w:tc>
          <w:tcPr>
            <w:tcW w:w="3120" w:type="dxa"/>
            <w:vAlign w:val="bottom"/>
            <w:gridSpan w:val="8"/>
          </w:tcPr>
          <w:p>
            <w:pPr>
              <w:jc w:val="center"/>
              <w:ind w:right="1040"/>
              <w:spacing w:after="0"/>
              <w:rPr>
                <w:sz w:val="20"/>
                <w:szCs w:val="20"/>
                <w:color w:val="auto"/>
              </w:rPr>
            </w:pPr>
            <w:r>
              <w:rPr>
                <w:rFonts w:ascii="Times New Roman" w:cs="Times New Roman" w:eastAsia="Times New Roman" w:hAnsi="Times New Roman"/>
                <w:sz w:val="20"/>
                <w:szCs w:val="20"/>
                <w:color w:val="auto"/>
                <w:w w:val="98"/>
              </w:rPr>
              <w:t>(in thousands)(unaudited)</w:t>
            </w: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6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jc w:val="right"/>
              <w:ind w:right="241"/>
              <w:spacing w:after="0"/>
              <w:rPr>
                <w:sz w:val="20"/>
                <w:szCs w:val="20"/>
                <w:color w:val="auto"/>
              </w:rPr>
            </w:pPr>
            <w:r>
              <w:rPr>
                <w:rFonts w:ascii="Times New Roman" w:cs="Times New Roman" w:eastAsia="Times New Roman" w:hAnsi="Times New Roman"/>
                <w:sz w:val="20"/>
                <w:szCs w:val="20"/>
                <w:b w:val="1"/>
                <w:bCs w:val="1"/>
                <w:color w:val="auto"/>
              </w:rPr>
              <w:t>Chemed</w:t>
            </w:r>
          </w:p>
        </w:tc>
        <w:tc>
          <w:tcPr>
            <w:tcW w:w="0" w:type="dxa"/>
            <w:vAlign w:val="bottom"/>
          </w:tcPr>
          <w:p>
            <w:pPr>
              <w:spacing w:after="0"/>
              <w:rPr>
                <w:sz w:val="1"/>
                <w:szCs w:val="1"/>
                <w:color w:val="auto"/>
              </w:rPr>
            </w:pPr>
          </w:p>
        </w:tc>
      </w:tr>
      <w:tr>
        <w:trPr>
          <w:trHeight w:val="250"/>
        </w:trPr>
        <w:tc>
          <w:tcPr>
            <w:tcW w:w="36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20"/>
                <w:szCs w:val="20"/>
                <w:b w:val="1"/>
                <w:bCs w:val="1"/>
                <w:color w:val="auto"/>
              </w:rPr>
              <w:t>VITAS</w:t>
            </w: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b w:val="1"/>
                <w:bCs w:val="1"/>
                <w:color w:val="auto"/>
                <w:w w:val="97"/>
              </w:rPr>
              <w:t>Roto-Rooter</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80" w:type="dxa"/>
            <w:vAlign w:val="bottom"/>
            <w:tcBorders>
              <w:bottom w:val="single" w:sz="8" w:color="auto"/>
            </w:tcBorders>
            <w:gridSpan w:val="2"/>
          </w:tcPr>
          <w:p>
            <w:pPr>
              <w:jc w:val="right"/>
              <w:ind w:right="1"/>
              <w:spacing w:after="0"/>
              <w:rPr>
                <w:sz w:val="20"/>
                <w:szCs w:val="20"/>
                <w:color w:val="auto"/>
              </w:rPr>
            </w:pPr>
            <w:r>
              <w:rPr>
                <w:rFonts w:ascii="Times New Roman" w:cs="Times New Roman" w:eastAsia="Times New Roman" w:hAnsi="Times New Roman"/>
                <w:sz w:val="20"/>
                <w:szCs w:val="20"/>
                <w:b w:val="1"/>
                <w:bCs w:val="1"/>
                <w:color w:val="auto"/>
              </w:rPr>
              <w:t>Corporate</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20"/>
                <w:szCs w:val="20"/>
                <w:b w:val="1"/>
                <w:bCs w:val="1"/>
                <w:color w:val="auto"/>
                <w:w w:val="99"/>
              </w:rPr>
              <w:t>Consolidated</w:t>
            </w:r>
          </w:p>
        </w:tc>
        <w:tc>
          <w:tcPr>
            <w:tcW w:w="0" w:type="dxa"/>
            <w:vAlign w:val="bottom"/>
          </w:tcPr>
          <w:p>
            <w:pPr>
              <w:spacing w:after="0"/>
              <w:rPr>
                <w:sz w:val="1"/>
                <w:szCs w:val="1"/>
                <w:color w:val="auto"/>
              </w:rPr>
            </w:pPr>
          </w:p>
        </w:tc>
      </w:tr>
      <w:tr>
        <w:trPr>
          <w:trHeight w:val="250"/>
        </w:trPr>
        <w:tc>
          <w:tcPr>
            <w:tcW w:w="3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rPr>
              <w:t>2026</w:t>
            </w:r>
          </w:p>
        </w:tc>
        <w:tc>
          <w:tcPr>
            <w:tcW w:w="4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65,708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30,140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20"/>
                <w:szCs w:val="20"/>
                <w:color w:val="auto"/>
              </w:rPr>
              <w:t>(24,200)</w:t>
            </w:r>
          </w:p>
        </w:tc>
        <w:tc>
          <w:tcPr>
            <w:tcW w:w="120" w:type="dxa"/>
            <w:vAlign w:val="bottom"/>
          </w:tcPr>
          <w:p>
            <w:pPr>
              <w:spacing w:after="0"/>
              <w:rPr>
                <w:sz w:val="21"/>
                <w:szCs w:val="21"/>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71,648</w:t>
            </w:r>
          </w:p>
        </w:tc>
        <w:tc>
          <w:tcPr>
            <w:tcW w:w="0" w:type="dxa"/>
            <w:vAlign w:val="bottom"/>
          </w:tcPr>
          <w:p>
            <w:pPr>
              <w:spacing w:after="0"/>
              <w:rPr>
                <w:sz w:val="1"/>
                <w:szCs w:val="1"/>
                <w:color w:val="auto"/>
              </w:rPr>
            </w:pPr>
          </w:p>
        </w:tc>
      </w:tr>
      <w:tr>
        <w:trPr>
          <w:trHeight w:val="269"/>
        </w:trPr>
        <w:tc>
          <w:tcPr>
            <w:tcW w:w="3640" w:type="dxa"/>
            <w:vAlign w:val="bottom"/>
          </w:tcPr>
          <w:p>
            <w:pPr>
              <w:spacing w:after="0"/>
              <w:rPr>
                <w:sz w:val="20"/>
                <w:szCs w:val="20"/>
                <w:color w:val="auto"/>
              </w:rPr>
            </w:pPr>
            <w:r>
              <w:rPr>
                <w:rFonts w:ascii="Times New Roman" w:cs="Times New Roman" w:eastAsia="Times New Roman" w:hAnsi="Times New Roman"/>
                <w:sz w:val="20"/>
                <w:szCs w:val="20"/>
                <w:color w:val="auto"/>
              </w:rPr>
              <w:t>Net income/(loss)</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vMerge w:val="continue"/>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vMerge w:val="continue"/>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gridSpan w:val="2"/>
          </w:tcPr>
          <w:p>
            <w:pPr>
              <w:jc w:val="right"/>
              <w:ind w:right="61"/>
              <w:spacing w:after="0"/>
              <w:rPr>
                <w:sz w:val="20"/>
                <w:szCs w:val="20"/>
                <w:color w:val="auto"/>
              </w:rPr>
            </w:pPr>
            <w:r>
              <w:rPr>
                <w:rFonts w:ascii="Times New Roman" w:cs="Times New Roman" w:eastAsia="Times New Roman" w:hAnsi="Times New Roman"/>
                <w:sz w:val="20"/>
                <w:szCs w:val="20"/>
                <w:color w:val="auto"/>
                <w:w w:val="99"/>
              </w:rPr>
              <w:t>$</w:t>
            </w:r>
          </w:p>
        </w:tc>
        <w:tc>
          <w:tcPr>
            <w:tcW w:w="920" w:type="dxa"/>
            <w:vAlign w:val="bottom"/>
            <w:gridSpan w:val="2"/>
            <w:vMerge w:val="continue"/>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8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640" w:type="dxa"/>
            <w:vAlign w:val="bottom"/>
          </w:tcPr>
          <w:p>
            <w:pPr>
              <w:spacing w:after="0"/>
              <w:rPr>
                <w:sz w:val="20"/>
                <w:szCs w:val="20"/>
                <w:color w:val="auto"/>
              </w:rPr>
            </w:pPr>
            <w:r>
              <w:rPr>
                <w:rFonts w:ascii="Times New Roman" w:cs="Times New Roman" w:eastAsia="Times New Roman" w:hAnsi="Times New Roman"/>
                <w:sz w:val="20"/>
                <w:szCs w:val="20"/>
                <w:color w:val="auto"/>
              </w:rPr>
              <w:t>Add/(deduct):</w:t>
            </w: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54</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145</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1,898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2,097</w:t>
            </w:r>
          </w:p>
        </w:tc>
        <w:tc>
          <w:tcPr>
            <w:tcW w:w="0" w:type="dxa"/>
            <w:vAlign w:val="bottom"/>
          </w:tcPr>
          <w:p>
            <w:pPr>
              <w:spacing w:after="0"/>
              <w:rPr>
                <w:sz w:val="1"/>
                <w:szCs w:val="1"/>
                <w:color w:val="auto"/>
              </w:rPr>
            </w:pPr>
          </w:p>
        </w:tc>
      </w:tr>
      <w:tr>
        <w:trPr>
          <w:trHeight w:val="268"/>
        </w:trPr>
        <w:tc>
          <w:tcPr>
            <w:tcW w:w="364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Interest expense</w:t>
            </w: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vMerge w:val="continue"/>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60" w:type="dxa"/>
            <w:vAlign w:val="bottom"/>
            <w:vMerge w:val="continue"/>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vMerge w:val="continue"/>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64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Income taxes</w:t>
            </w: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20,270</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9,152</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(4,362)</w:t>
            </w:r>
          </w:p>
        </w:tc>
        <w:tc>
          <w:tcPr>
            <w:tcW w:w="1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25,060</w:t>
            </w:r>
          </w:p>
        </w:tc>
        <w:tc>
          <w:tcPr>
            <w:tcW w:w="0" w:type="dxa"/>
            <w:vAlign w:val="bottom"/>
          </w:tcPr>
          <w:p>
            <w:pPr>
              <w:spacing w:after="0"/>
              <w:rPr>
                <w:sz w:val="1"/>
                <w:szCs w:val="1"/>
                <w:color w:val="auto"/>
              </w:rPr>
            </w:pPr>
          </w:p>
        </w:tc>
      </w:tr>
      <w:tr>
        <w:trPr>
          <w:trHeight w:val="270"/>
        </w:trPr>
        <w:tc>
          <w:tcPr>
            <w:tcW w:w="364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Depreciation</w:t>
            </w: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5,791</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8,624</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14,427</w:t>
            </w:r>
          </w:p>
        </w:tc>
        <w:tc>
          <w:tcPr>
            <w:tcW w:w="0" w:type="dxa"/>
            <w:vAlign w:val="bottom"/>
          </w:tcPr>
          <w:p>
            <w:pPr>
              <w:spacing w:after="0"/>
              <w:rPr>
                <w:sz w:val="1"/>
                <w:szCs w:val="1"/>
                <w:color w:val="auto"/>
              </w:rPr>
            </w:pPr>
          </w:p>
        </w:tc>
      </w:tr>
      <w:tr>
        <w:trPr>
          <w:trHeight w:val="252"/>
        </w:trPr>
        <w:tc>
          <w:tcPr>
            <w:tcW w:w="364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Amortization</w:t>
            </w: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w:t>
            </w: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2,949</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2,974</w:t>
            </w:r>
          </w:p>
        </w:tc>
        <w:tc>
          <w:tcPr>
            <w:tcW w:w="0" w:type="dxa"/>
            <w:vAlign w:val="bottom"/>
          </w:tcPr>
          <w:p>
            <w:pPr>
              <w:spacing w:after="0"/>
              <w:rPr>
                <w:sz w:val="1"/>
                <w:szCs w:val="1"/>
                <w:color w:val="auto"/>
              </w:rPr>
            </w:pPr>
          </w:p>
        </w:tc>
      </w:tr>
      <w:tr>
        <w:trPr>
          <w:trHeight w:val="269"/>
        </w:trPr>
        <w:tc>
          <w:tcPr>
            <w:tcW w:w="364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EBITDA</w:t>
            </w: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91,848</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51,010</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(26,652)</w:t>
            </w:r>
          </w:p>
        </w:tc>
        <w:tc>
          <w:tcPr>
            <w:tcW w:w="1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116,206</w:t>
            </w:r>
          </w:p>
        </w:tc>
        <w:tc>
          <w:tcPr>
            <w:tcW w:w="0" w:type="dxa"/>
            <w:vAlign w:val="bottom"/>
          </w:tcPr>
          <w:p>
            <w:pPr>
              <w:spacing w:after="0"/>
              <w:rPr>
                <w:sz w:val="1"/>
                <w:szCs w:val="1"/>
                <w:color w:val="auto"/>
              </w:rPr>
            </w:pPr>
          </w:p>
        </w:tc>
      </w:tr>
      <w:tr>
        <w:trPr>
          <w:trHeight w:val="270"/>
        </w:trPr>
        <w:tc>
          <w:tcPr>
            <w:tcW w:w="3640" w:type="dxa"/>
            <w:vAlign w:val="bottom"/>
          </w:tcPr>
          <w:p>
            <w:pPr>
              <w:spacing w:after="0"/>
              <w:rPr>
                <w:sz w:val="20"/>
                <w:szCs w:val="20"/>
                <w:color w:val="auto"/>
              </w:rPr>
            </w:pPr>
            <w:r>
              <w:rPr>
                <w:rFonts w:ascii="Times New Roman" w:cs="Times New Roman" w:eastAsia="Times New Roman" w:hAnsi="Times New Roman"/>
                <w:sz w:val="20"/>
                <w:szCs w:val="20"/>
                <w:color w:val="auto"/>
              </w:rPr>
              <w:t>Add/(deduct):</w:t>
            </w: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20"/>
                <w:szCs w:val="20"/>
                <w:color w:val="auto"/>
              </w:rPr>
              <w:t>(6,766)</w:t>
            </w:r>
          </w:p>
        </w:tc>
        <w:tc>
          <w:tcPr>
            <w:tcW w:w="100" w:type="dxa"/>
            <w:vAlign w:val="bottom"/>
          </w:tcPr>
          <w:p>
            <w:pPr>
              <w:spacing w:after="0"/>
              <w:rPr>
                <w:sz w:val="23"/>
                <w:szCs w:val="23"/>
                <w:color w:val="auto"/>
              </w:rPr>
            </w:pPr>
          </w:p>
        </w:tc>
        <w:tc>
          <w:tcPr>
            <w:tcW w:w="12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20"/>
                <w:szCs w:val="20"/>
                <w:color w:val="auto"/>
              </w:rPr>
              <w:t>(4,574)</w:t>
            </w: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11,340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8"/>
        </w:trPr>
        <w:tc>
          <w:tcPr>
            <w:tcW w:w="3640" w:type="dxa"/>
            <w:vAlign w:val="bottom"/>
          </w:tcPr>
          <w:p>
            <w:pPr>
              <w:ind w:left="420"/>
              <w:spacing w:after="0"/>
              <w:rPr>
                <w:sz w:val="20"/>
                <w:szCs w:val="20"/>
                <w:color w:val="auto"/>
              </w:rPr>
            </w:pPr>
            <w:r>
              <w:rPr>
                <w:rFonts w:ascii="Times New Roman" w:cs="Times New Roman" w:eastAsia="Times New Roman" w:hAnsi="Times New Roman"/>
                <w:sz w:val="20"/>
                <w:szCs w:val="20"/>
                <w:color w:val="auto"/>
                <w:w w:val="99"/>
              </w:rPr>
              <w:t>Intercompany interest expense/(income)</w:t>
            </w: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gridSpan w:val="2"/>
            <w:vMerge w:val="continue"/>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gridSpan w:val="2"/>
            <w:vMerge w:val="continue"/>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vMerge w:val="continue"/>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70"/>
        </w:trPr>
        <w:tc>
          <w:tcPr>
            <w:tcW w:w="364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Interest income</w:t>
            </w: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(113)</w:t>
            </w:r>
          </w:p>
        </w:tc>
        <w:tc>
          <w:tcPr>
            <w:tcW w:w="100" w:type="dxa"/>
            <w:vAlign w:val="bottom"/>
          </w:tcPr>
          <w:p>
            <w:pPr>
              <w:spacing w:after="0"/>
              <w:rPr>
                <w:sz w:val="23"/>
                <w:szCs w:val="23"/>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(5)</w:t>
            </w: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(177)</w:t>
            </w:r>
          </w:p>
        </w:tc>
        <w:tc>
          <w:tcPr>
            <w:tcW w:w="1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(295)</w:t>
            </w:r>
          </w:p>
        </w:tc>
        <w:tc>
          <w:tcPr>
            <w:tcW w:w="0" w:type="dxa"/>
            <w:vAlign w:val="bottom"/>
          </w:tcPr>
          <w:p>
            <w:pPr>
              <w:spacing w:after="0"/>
              <w:rPr>
                <w:sz w:val="1"/>
                <w:szCs w:val="1"/>
                <w:color w:val="auto"/>
              </w:rPr>
            </w:pPr>
          </w:p>
        </w:tc>
      </w:tr>
      <w:tr>
        <w:trPr>
          <w:trHeight w:val="270"/>
        </w:trPr>
        <w:tc>
          <w:tcPr>
            <w:tcW w:w="364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Legal settlements</w:t>
            </w: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6,705</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7,013</w:t>
            </w:r>
          </w:p>
        </w:tc>
        <w:tc>
          <w:tcPr>
            <w:tcW w:w="0" w:type="dxa"/>
            <w:vAlign w:val="bottom"/>
          </w:tcPr>
          <w:p>
            <w:pPr>
              <w:spacing w:after="0"/>
              <w:rPr>
                <w:sz w:val="1"/>
                <w:szCs w:val="1"/>
                <w:color w:val="auto"/>
              </w:rPr>
            </w:pPr>
          </w:p>
        </w:tc>
      </w:tr>
      <w:tr>
        <w:trPr>
          <w:trHeight w:val="270"/>
        </w:trPr>
        <w:tc>
          <w:tcPr>
            <w:tcW w:w="364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Stock option expense</w:t>
            </w: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3"/>
                <w:szCs w:val="23"/>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5,984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5,984</w:t>
            </w:r>
          </w:p>
        </w:tc>
        <w:tc>
          <w:tcPr>
            <w:tcW w:w="0" w:type="dxa"/>
            <w:vAlign w:val="bottom"/>
          </w:tcPr>
          <w:p>
            <w:pPr>
              <w:spacing w:after="0"/>
              <w:rPr>
                <w:sz w:val="1"/>
                <w:szCs w:val="1"/>
                <w:color w:val="auto"/>
              </w:rPr>
            </w:pPr>
          </w:p>
        </w:tc>
      </w:tr>
      <w:tr>
        <w:trPr>
          <w:trHeight w:val="270"/>
        </w:trPr>
        <w:tc>
          <w:tcPr>
            <w:tcW w:w="364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Long-term incentive compensation</w:t>
            </w: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3"/>
                <w:szCs w:val="23"/>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3,151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3,151</w:t>
            </w:r>
          </w:p>
        </w:tc>
        <w:tc>
          <w:tcPr>
            <w:tcW w:w="0" w:type="dxa"/>
            <w:vAlign w:val="bottom"/>
          </w:tcPr>
          <w:p>
            <w:pPr>
              <w:spacing w:after="0"/>
              <w:rPr>
                <w:sz w:val="1"/>
                <w:szCs w:val="1"/>
                <w:color w:val="auto"/>
              </w:rPr>
            </w:pPr>
          </w:p>
        </w:tc>
      </w:tr>
      <w:tr>
        <w:trPr>
          <w:trHeight w:val="252"/>
        </w:trPr>
        <w:tc>
          <w:tcPr>
            <w:tcW w:w="364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Acquisition expense</w:t>
            </w: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1,726</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1,726</w:t>
            </w:r>
          </w:p>
        </w:tc>
        <w:tc>
          <w:tcPr>
            <w:tcW w:w="0" w:type="dxa"/>
            <w:vAlign w:val="bottom"/>
          </w:tcPr>
          <w:p>
            <w:pPr>
              <w:spacing w:after="0"/>
              <w:rPr>
                <w:sz w:val="1"/>
                <w:szCs w:val="1"/>
                <w:color w:val="auto"/>
              </w:rPr>
            </w:pPr>
          </w:p>
        </w:tc>
      </w:tr>
      <w:tr>
        <w:trPr>
          <w:trHeight w:val="243"/>
        </w:trPr>
        <w:tc>
          <w:tcPr>
            <w:tcW w:w="364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Adjusted EBITDA</w:t>
            </w:r>
          </w:p>
        </w:tc>
        <w:tc>
          <w:tcPr>
            <w:tcW w:w="540" w:type="dxa"/>
            <w:vAlign w:val="bottom"/>
            <w:gridSpan w:val="2"/>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91,674</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48,157</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61"/>
              <w:spacing w:after="0"/>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(6,046)</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133,785</w:t>
            </w:r>
          </w:p>
        </w:tc>
        <w:tc>
          <w:tcPr>
            <w:tcW w:w="0" w:type="dxa"/>
            <w:vAlign w:val="bottom"/>
          </w:tcPr>
          <w:p>
            <w:pPr>
              <w:spacing w:after="0"/>
              <w:rPr>
                <w:sz w:val="1"/>
                <w:szCs w:val="1"/>
                <w:color w:val="auto"/>
              </w:rPr>
            </w:pPr>
          </w:p>
        </w:tc>
      </w:tr>
      <w:tr>
        <w:trPr>
          <w:trHeight w:val="526"/>
        </w:trPr>
        <w:tc>
          <w:tcPr>
            <w:tcW w:w="3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2025</w:t>
            </w:r>
          </w:p>
        </w:tc>
        <w:tc>
          <w:tcPr>
            <w:tcW w:w="4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46,771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32,071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20"/>
                <w:szCs w:val="20"/>
                <w:color w:val="auto"/>
              </w:rPr>
              <w:t>(14,605)</w:t>
            </w:r>
          </w:p>
        </w:tc>
        <w:tc>
          <w:tcPr>
            <w:tcW w:w="120" w:type="dxa"/>
            <w:vAlign w:val="bottom"/>
          </w:tcPr>
          <w:p>
            <w:pPr>
              <w:spacing w:after="0"/>
              <w:rPr>
                <w:sz w:val="24"/>
                <w:szCs w:val="24"/>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64,237</w:t>
            </w:r>
          </w:p>
        </w:tc>
        <w:tc>
          <w:tcPr>
            <w:tcW w:w="0" w:type="dxa"/>
            <w:vAlign w:val="bottom"/>
          </w:tcPr>
          <w:p>
            <w:pPr>
              <w:spacing w:after="0"/>
              <w:rPr>
                <w:sz w:val="1"/>
                <w:szCs w:val="1"/>
                <w:color w:val="auto"/>
              </w:rPr>
            </w:pPr>
          </w:p>
        </w:tc>
      </w:tr>
      <w:tr>
        <w:trPr>
          <w:trHeight w:val="270"/>
        </w:trPr>
        <w:tc>
          <w:tcPr>
            <w:tcW w:w="3640" w:type="dxa"/>
            <w:vAlign w:val="bottom"/>
          </w:tcPr>
          <w:p>
            <w:pPr>
              <w:spacing w:after="0"/>
              <w:rPr>
                <w:sz w:val="20"/>
                <w:szCs w:val="20"/>
                <w:color w:val="auto"/>
              </w:rPr>
            </w:pPr>
            <w:r>
              <w:rPr>
                <w:rFonts w:ascii="Times New Roman" w:cs="Times New Roman" w:eastAsia="Times New Roman" w:hAnsi="Times New Roman"/>
                <w:sz w:val="20"/>
                <w:szCs w:val="20"/>
                <w:color w:val="auto"/>
              </w:rPr>
              <w:t>Net income/(loss)</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vMerge w:val="continue"/>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vMerge w:val="continue"/>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gridSpan w:val="2"/>
          </w:tcPr>
          <w:p>
            <w:pPr>
              <w:jc w:val="right"/>
              <w:ind w:right="61"/>
              <w:spacing w:after="0"/>
              <w:rPr>
                <w:sz w:val="20"/>
                <w:szCs w:val="20"/>
                <w:color w:val="auto"/>
              </w:rPr>
            </w:pPr>
            <w:r>
              <w:rPr>
                <w:rFonts w:ascii="Times New Roman" w:cs="Times New Roman" w:eastAsia="Times New Roman" w:hAnsi="Times New Roman"/>
                <w:sz w:val="20"/>
                <w:szCs w:val="20"/>
                <w:color w:val="auto"/>
                <w:w w:val="99"/>
              </w:rPr>
              <w:t>$</w:t>
            </w:r>
          </w:p>
        </w:tc>
        <w:tc>
          <w:tcPr>
            <w:tcW w:w="920" w:type="dxa"/>
            <w:vAlign w:val="bottom"/>
            <w:gridSpan w:val="2"/>
            <w:vMerge w:val="continue"/>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8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640" w:type="dxa"/>
            <w:vAlign w:val="bottom"/>
          </w:tcPr>
          <w:p>
            <w:pPr>
              <w:spacing w:after="0"/>
              <w:rPr>
                <w:sz w:val="20"/>
                <w:szCs w:val="20"/>
                <w:color w:val="auto"/>
              </w:rPr>
            </w:pPr>
            <w:r>
              <w:rPr>
                <w:rFonts w:ascii="Times New Roman" w:cs="Times New Roman" w:eastAsia="Times New Roman" w:hAnsi="Times New Roman"/>
                <w:sz w:val="20"/>
                <w:szCs w:val="20"/>
                <w:color w:val="auto"/>
              </w:rPr>
              <w:t>Add/(deduct):</w:t>
            </w: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56</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132</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269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457</w:t>
            </w:r>
          </w:p>
        </w:tc>
        <w:tc>
          <w:tcPr>
            <w:tcW w:w="0" w:type="dxa"/>
            <w:vAlign w:val="bottom"/>
          </w:tcPr>
          <w:p>
            <w:pPr>
              <w:spacing w:after="0"/>
              <w:rPr>
                <w:sz w:val="1"/>
                <w:szCs w:val="1"/>
                <w:color w:val="auto"/>
              </w:rPr>
            </w:pPr>
          </w:p>
        </w:tc>
      </w:tr>
      <w:tr>
        <w:trPr>
          <w:trHeight w:val="268"/>
        </w:trPr>
        <w:tc>
          <w:tcPr>
            <w:tcW w:w="364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Interest expense</w:t>
            </w: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vMerge w:val="continue"/>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60" w:type="dxa"/>
            <w:vAlign w:val="bottom"/>
            <w:vMerge w:val="continue"/>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vMerge w:val="continue"/>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64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Income taxes</w:t>
            </w: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14,993</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10,407</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(6,093)</w:t>
            </w:r>
          </w:p>
        </w:tc>
        <w:tc>
          <w:tcPr>
            <w:tcW w:w="1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19,307</w:t>
            </w:r>
          </w:p>
        </w:tc>
        <w:tc>
          <w:tcPr>
            <w:tcW w:w="0" w:type="dxa"/>
            <w:vAlign w:val="bottom"/>
          </w:tcPr>
          <w:p>
            <w:pPr>
              <w:spacing w:after="0"/>
              <w:rPr>
                <w:sz w:val="1"/>
                <w:szCs w:val="1"/>
                <w:color w:val="auto"/>
              </w:rPr>
            </w:pPr>
          </w:p>
        </w:tc>
      </w:tr>
      <w:tr>
        <w:trPr>
          <w:trHeight w:val="270"/>
        </w:trPr>
        <w:tc>
          <w:tcPr>
            <w:tcW w:w="364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Depreciation</w:t>
            </w: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5,354</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8,298</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13,664</w:t>
            </w:r>
          </w:p>
        </w:tc>
        <w:tc>
          <w:tcPr>
            <w:tcW w:w="0" w:type="dxa"/>
            <w:vAlign w:val="bottom"/>
          </w:tcPr>
          <w:p>
            <w:pPr>
              <w:spacing w:after="0"/>
              <w:rPr>
                <w:sz w:val="1"/>
                <w:szCs w:val="1"/>
                <w:color w:val="auto"/>
              </w:rPr>
            </w:pPr>
          </w:p>
        </w:tc>
      </w:tr>
      <w:tr>
        <w:trPr>
          <w:trHeight w:val="252"/>
        </w:trPr>
        <w:tc>
          <w:tcPr>
            <w:tcW w:w="364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Amortization</w:t>
            </w: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w:t>
            </w: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2,544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2,570</w:t>
            </w:r>
          </w:p>
        </w:tc>
        <w:tc>
          <w:tcPr>
            <w:tcW w:w="0" w:type="dxa"/>
            <w:vAlign w:val="bottom"/>
          </w:tcPr>
          <w:p>
            <w:pPr>
              <w:spacing w:after="0"/>
              <w:rPr>
                <w:sz w:val="1"/>
                <w:szCs w:val="1"/>
                <w:color w:val="auto"/>
              </w:rPr>
            </w:pPr>
          </w:p>
        </w:tc>
      </w:tr>
      <w:tr>
        <w:trPr>
          <w:trHeight w:val="270"/>
        </w:trPr>
        <w:tc>
          <w:tcPr>
            <w:tcW w:w="364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EBITDA</w:t>
            </w: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67,200</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53,452</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(20,417)</w:t>
            </w:r>
          </w:p>
        </w:tc>
        <w:tc>
          <w:tcPr>
            <w:tcW w:w="1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100,235</w:t>
            </w:r>
          </w:p>
        </w:tc>
        <w:tc>
          <w:tcPr>
            <w:tcW w:w="0" w:type="dxa"/>
            <w:vAlign w:val="bottom"/>
          </w:tcPr>
          <w:p>
            <w:pPr>
              <w:spacing w:after="0"/>
              <w:rPr>
                <w:sz w:val="1"/>
                <w:szCs w:val="1"/>
                <w:color w:val="auto"/>
              </w:rPr>
            </w:pPr>
          </w:p>
        </w:tc>
      </w:tr>
      <w:tr>
        <w:trPr>
          <w:trHeight w:val="270"/>
        </w:trPr>
        <w:tc>
          <w:tcPr>
            <w:tcW w:w="3640" w:type="dxa"/>
            <w:vAlign w:val="bottom"/>
          </w:tcPr>
          <w:p>
            <w:pPr>
              <w:spacing w:after="0"/>
              <w:rPr>
                <w:sz w:val="20"/>
                <w:szCs w:val="20"/>
                <w:color w:val="auto"/>
              </w:rPr>
            </w:pPr>
            <w:r>
              <w:rPr>
                <w:rFonts w:ascii="Times New Roman" w:cs="Times New Roman" w:eastAsia="Times New Roman" w:hAnsi="Times New Roman"/>
                <w:sz w:val="20"/>
                <w:szCs w:val="20"/>
                <w:color w:val="auto"/>
              </w:rPr>
              <w:t>Add/(deduct):</w:t>
            </w: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20"/>
                <w:szCs w:val="20"/>
                <w:color w:val="auto"/>
              </w:rPr>
              <w:t>(5,685)</w:t>
            </w:r>
          </w:p>
        </w:tc>
        <w:tc>
          <w:tcPr>
            <w:tcW w:w="100" w:type="dxa"/>
            <w:vAlign w:val="bottom"/>
          </w:tcPr>
          <w:p>
            <w:pPr>
              <w:spacing w:after="0"/>
              <w:rPr>
                <w:sz w:val="23"/>
                <w:szCs w:val="23"/>
                <w:color w:val="auto"/>
              </w:rPr>
            </w:pPr>
          </w:p>
        </w:tc>
        <w:tc>
          <w:tcPr>
            <w:tcW w:w="12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20"/>
                <w:szCs w:val="20"/>
                <w:color w:val="auto"/>
              </w:rPr>
              <w:t>(4,030)</w:t>
            </w: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9,715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8"/>
        </w:trPr>
        <w:tc>
          <w:tcPr>
            <w:tcW w:w="3640" w:type="dxa"/>
            <w:vAlign w:val="bottom"/>
          </w:tcPr>
          <w:p>
            <w:pPr>
              <w:ind w:left="420"/>
              <w:spacing w:after="0"/>
              <w:rPr>
                <w:sz w:val="20"/>
                <w:szCs w:val="20"/>
                <w:color w:val="auto"/>
              </w:rPr>
            </w:pPr>
            <w:r>
              <w:rPr>
                <w:rFonts w:ascii="Times New Roman" w:cs="Times New Roman" w:eastAsia="Times New Roman" w:hAnsi="Times New Roman"/>
                <w:sz w:val="20"/>
                <w:szCs w:val="20"/>
                <w:color w:val="auto"/>
                <w:w w:val="99"/>
              </w:rPr>
              <w:t>Intercompany interest expense/(income)</w:t>
            </w: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gridSpan w:val="2"/>
            <w:vMerge w:val="continue"/>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gridSpan w:val="2"/>
            <w:vMerge w:val="continue"/>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vMerge w:val="continue"/>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70"/>
        </w:trPr>
        <w:tc>
          <w:tcPr>
            <w:tcW w:w="364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Interest income</w:t>
            </w: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(69)</w:t>
            </w:r>
          </w:p>
        </w:tc>
        <w:tc>
          <w:tcPr>
            <w:tcW w:w="100" w:type="dxa"/>
            <w:vAlign w:val="bottom"/>
          </w:tcPr>
          <w:p>
            <w:pPr>
              <w:spacing w:after="0"/>
              <w:rPr>
                <w:sz w:val="23"/>
                <w:szCs w:val="23"/>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(25)</w:t>
            </w: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(2,462)</w:t>
            </w:r>
          </w:p>
        </w:tc>
        <w:tc>
          <w:tcPr>
            <w:tcW w:w="1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(2,556)</w:t>
            </w:r>
          </w:p>
        </w:tc>
        <w:tc>
          <w:tcPr>
            <w:tcW w:w="0" w:type="dxa"/>
            <w:vAlign w:val="bottom"/>
          </w:tcPr>
          <w:p>
            <w:pPr>
              <w:spacing w:after="0"/>
              <w:rPr>
                <w:sz w:val="1"/>
                <w:szCs w:val="1"/>
                <w:color w:val="auto"/>
              </w:rPr>
            </w:pPr>
          </w:p>
        </w:tc>
      </w:tr>
      <w:tr>
        <w:trPr>
          <w:trHeight w:val="270"/>
        </w:trPr>
        <w:tc>
          <w:tcPr>
            <w:tcW w:w="364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Stock option expense</w:t>
            </w: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3"/>
                <w:szCs w:val="23"/>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6,067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6,067</w:t>
            </w:r>
          </w:p>
        </w:tc>
        <w:tc>
          <w:tcPr>
            <w:tcW w:w="0" w:type="dxa"/>
            <w:vAlign w:val="bottom"/>
          </w:tcPr>
          <w:p>
            <w:pPr>
              <w:spacing w:after="0"/>
              <w:rPr>
                <w:sz w:val="1"/>
                <w:szCs w:val="1"/>
                <w:color w:val="auto"/>
              </w:rPr>
            </w:pPr>
          </w:p>
        </w:tc>
      </w:tr>
      <w:tr>
        <w:trPr>
          <w:trHeight w:val="270"/>
        </w:trPr>
        <w:tc>
          <w:tcPr>
            <w:tcW w:w="364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Legal settlements</w:t>
            </w: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2,850</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2,850</w:t>
            </w:r>
          </w:p>
        </w:tc>
        <w:tc>
          <w:tcPr>
            <w:tcW w:w="0" w:type="dxa"/>
            <w:vAlign w:val="bottom"/>
          </w:tcPr>
          <w:p>
            <w:pPr>
              <w:spacing w:after="0"/>
              <w:rPr>
                <w:sz w:val="1"/>
                <w:szCs w:val="1"/>
                <w:color w:val="auto"/>
              </w:rPr>
            </w:pPr>
          </w:p>
        </w:tc>
      </w:tr>
      <w:tr>
        <w:trPr>
          <w:trHeight w:val="270"/>
        </w:trPr>
        <w:tc>
          <w:tcPr>
            <w:tcW w:w="364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Long-term incentive compensation</w:t>
            </w: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3"/>
                <w:szCs w:val="23"/>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(216)</w:t>
            </w:r>
          </w:p>
        </w:tc>
        <w:tc>
          <w:tcPr>
            <w:tcW w:w="1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(216)</w:t>
            </w:r>
          </w:p>
        </w:tc>
        <w:tc>
          <w:tcPr>
            <w:tcW w:w="0" w:type="dxa"/>
            <w:vAlign w:val="bottom"/>
          </w:tcPr>
          <w:p>
            <w:pPr>
              <w:spacing w:after="0"/>
              <w:rPr>
                <w:sz w:val="1"/>
                <w:szCs w:val="1"/>
                <w:color w:val="auto"/>
              </w:rPr>
            </w:pPr>
          </w:p>
        </w:tc>
      </w:tr>
      <w:tr>
        <w:trPr>
          <w:trHeight w:val="252"/>
        </w:trPr>
        <w:tc>
          <w:tcPr>
            <w:tcW w:w="364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Other</w:t>
            </w: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1"/>
                <w:szCs w:val="21"/>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2,665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2,665</w:t>
            </w:r>
          </w:p>
        </w:tc>
        <w:tc>
          <w:tcPr>
            <w:tcW w:w="0" w:type="dxa"/>
            <w:vAlign w:val="bottom"/>
          </w:tcPr>
          <w:p>
            <w:pPr>
              <w:spacing w:after="0"/>
              <w:rPr>
                <w:sz w:val="1"/>
                <w:szCs w:val="1"/>
                <w:color w:val="auto"/>
              </w:rPr>
            </w:pPr>
          </w:p>
        </w:tc>
      </w:tr>
      <w:tr>
        <w:trPr>
          <w:trHeight w:val="243"/>
        </w:trPr>
        <w:tc>
          <w:tcPr>
            <w:tcW w:w="364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Adjusted EBITDA</w:t>
            </w:r>
          </w:p>
        </w:tc>
        <w:tc>
          <w:tcPr>
            <w:tcW w:w="540" w:type="dxa"/>
            <w:vAlign w:val="bottom"/>
            <w:gridSpan w:val="2"/>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64,296</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49,397</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61"/>
              <w:spacing w:after="0"/>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(4,648)</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109,045</w:t>
            </w:r>
          </w:p>
        </w:tc>
        <w:tc>
          <w:tcPr>
            <w:tcW w:w="0" w:type="dxa"/>
            <w:vAlign w:val="bottom"/>
          </w:tcPr>
          <w:p>
            <w:pPr>
              <w:spacing w:after="0"/>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"Footnotes to Financial Statements" are integral parts of this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207010</wp:posOffset>
            </wp:positionV>
            <wp:extent cx="6000115" cy="508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000115" cy="50800"/>
                    </a:xfrm>
                    <a:prstGeom prst="rect">
                      <a:avLst/>
                    </a:prstGeom>
                    <a:noFill/>
                  </pic:spPr>
                </pic:pic>
              </a:graphicData>
            </a:graphic>
          </wp:anchor>
        </w:drawing>
      </w:r>
    </w:p>
    <w:p>
      <w:pPr>
        <w:sectPr>
          <w:pgSz w:w="11900" w:h="16838" w:orient="portrait"/>
          <w:cols w:equalWidth="0" w:num="1">
            <w:col w:w="9479"/>
          </w:cols>
          <w:pgMar w:left="980" w:top="518" w:right="1440"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57"/>
        </w:trPr>
        <w:tc>
          <w:tcPr>
            <w:tcW w:w="7960" w:type="dxa"/>
            <w:vAlign w:val="bottom"/>
            <w:gridSpan w:val="13"/>
          </w:tcPr>
          <w:p>
            <w:pPr>
              <w:jc w:val="center"/>
              <w:ind w:left="1301"/>
              <w:spacing w:after="0"/>
              <w:rPr>
                <w:sz w:val="20"/>
                <w:szCs w:val="20"/>
                <w:color w:val="auto"/>
              </w:rPr>
            </w:pPr>
            <w:r>
              <w:rPr>
                <w:rFonts w:ascii="Times New Roman" w:cs="Times New Roman" w:eastAsia="Times New Roman" w:hAnsi="Times New Roman"/>
                <w:sz w:val="20"/>
                <w:szCs w:val="20"/>
                <w:b w:val="1"/>
                <w:bCs w:val="1"/>
                <w:color w:val="auto"/>
                <w:w w:val="97"/>
              </w:rPr>
              <w:t>CHEMED CORPORATION AND SUBSIDIARY COMPANIES</w:t>
            </w:r>
          </w:p>
        </w:tc>
        <w:tc>
          <w:tcPr>
            <w:tcW w:w="1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760" w:type="dxa"/>
            <w:vAlign w:val="bottom"/>
            <w:gridSpan w:val="9"/>
          </w:tcPr>
          <w:p>
            <w:pPr>
              <w:jc w:val="center"/>
              <w:ind w:left="2501"/>
              <w:spacing w:after="0"/>
              <w:rPr>
                <w:sz w:val="20"/>
                <w:szCs w:val="20"/>
                <w:color w:val="auto"/>
              </w:rPr>
            </w:pPr>
            <w:r>
              <w:rPr>
                <w:rFonts w:ascii="Times New Roman" w:cs="Times New Roman" w:eastAsia="Times New Roman" w:hAnsi="Times New Roman"/>
                <w:sz w:val="20"/>
                <w:szCs w:val="20"/>
                <w:b w:val="1"/>
                <w:bCs w:val="1"/>
                <w:color w:val="auto"/>
                <w:w w:val="98"/>
              </w:rPr>
              <w:t>CONSOLIDATING SUMMARIES OF EBITDA</w:t>
            </w: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7960" w:type="dxa"/>
            <w:vAlign w:val="bottom"/>
            <w:gridSpan w:val="13"/>
          </w:tcPr>
          <w:p>
            <w:pPr>
              <w:jc w:val="center"/>
              <w:ind w:left="1301"/>
              <w:spacing w:after="0" w:line="220" w:lineRule="exact"/>
              <w:rPr>
                <w:sz w:val="20"/>
                <w:szCs w:val="20"/>
                <w:color w:val="auto"/>
              </w:rPr>
            </w:pPr>
            <w:r>
              <w:rPr>
                <w:rFonts w:ascii="Times New Roman" w:cs="Times New Roman" w:eastAsia="Times New Roman" w:hAnsi="Times New Roman"/>
                <w:sz w:val="20"/>
                <w:szCs w:val="20"/>
                <w:b w:val="1"/>
                <w:bCs w:val="1"/>
                <w:color w:val="auto"/>
                <w:w w:val="99"/>
              </w:rPr>
              <w:t>FOR THE NINE MONTHS ENDED SEPTEMBER 30, 2026 AND 2025</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3640" w:type="dxa"/>
            <w:vAlign w:val="bottom"/>
          </w:tcPr>
          <w:p>
            <w:pPr>
              <w:spacing w:after="0"/>
              <w:rPr>
                <w:sz w:val="22"/>
                <w:szCs w:val="22"/>
                <w:color w:val="auto"/>
              </w:rPr>
            </w:pPr>
          </w:p>
        </w:tc>
        <w:tc>
          <w:tcPr>
            <w:tcW w:w="3120" w:type="dxa"/>
            <w:vAlign w:val="bottom"/>
            <w:gridSpan w:val="8"/>
          </w:tcPr>
          <w:p>
            <w:pPr>
              <w:jc w:val="center"/>
              <w:ind w:right="1040"/>
              <w:spacing w:after="0"/>
              <w:rPr>
                <w:sz w:val="20"/>
                <w:szCs w:val="20"/>
                <w:color w:val="auto"/>
              </w:rPr>
            </w:pPr>
            <w:r>
              <w:rPr>
                <w:rFonts w:ascii="Times New Roman" w:cs="Times New Roman" w:eastAsia="Times New Roman" w:hAnsi="Times New Roman"/>
                <w:sz w:val="20"/>
                <w:szCs w:val="20"/>
                <w:color w:val="auto"/>
                <w:w w:val="98"/>
              </w:rPr>
              <w:t>(in thousands)(unaudited)</w:t>
            </w: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6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jc w:val="right"/>
              <w:ind w:right="241"/>
              <w:spacing w:after="0"/>
              <w:rPr>
                <w:sz w:val="20"/>
                <w:szCs w:val="20"/>
                <w:color w:val="auto"/>
              </w:rPr>
            </w:pPr>
            <w:r>
              <w:rPr>
                <w:rFonts w:ascii="Times New Roman" w:cs="Times New Roman" w:eastAsia="Times New Roman" w:hAnsi="Times New Roman"/>
                <w:sz w:val="20"/>
                <w:szCs w:val="20"/>
                <w:b w:val="1"/>
                <w:bCs w:val="1"/>
                <w:color w:val="auto"/>
              </w:rPr>
              <w:t>Chemed</w:t>
            </w:r>
          </w:p>
        </w:tc>
        <w:tc>
          <w:tcPr>
            <w:tcW w:w="0" w:type="dxa"/>
            <w:vAlign w:val="bottom"/>
          </w:tcPr>
          <w:p>
            <w:pPr>
              <w:spacing w:after="0"/>
              <w:rPr>
                <w:sz w:val="1"/>
                <w:szCs w:val="1"/>
                <w:color w:val="auto"/>
              </w:rPr>
            </w:pPr>
          </w:p>
        </w:tc>
      </w:tr>
      <w:tr>
        <w:trPr>
          <w:trHeight w:val="251"/>
        </w:trPr>
        <w:tc>
          <w:tcPr>
            <w:tcW w:w="36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20"/>
                <w:szCs w:val="20"/>
                <w:b w:val="1"/>
                <w:bCs w:val="1"/>
                <w:color w:val="auto"/>
              </w:rPr>
              <w:t>VITAS</w:t>
            </w: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b w:val="1"/>
                <w:bCs w:val="1"/>
                <w:color w:val="auto"/>
                <w:w w:val="97"/>
              </w:rPr>
              <w:t>Roto-Rooter</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80" w:type="dxa"/>
            <w:vAlign w:val="bottom"/>
            <w:tcBorders>
              <w:bottom w:val="single" w:sz="8" w:color="auto"/>
            </w:tcBorders>
            <w:gridSpan w:val="2"/>
          </w:tcPr>
          <w:p>
            <w:pPr>
              <w:jc w:val="right"/>
              <w:ind w:right="1"/>
              <w:spacing w:after="0"/>
              <w:rPr>
                <w:sz w:val="20"/>
                <w:szCs w:val="20"/>
                <w:color w:val="auto"/>
              </w:rPr>
            </w:pPr>
            <w:r>
              <w:rPr>
                <w:rFonts w:ascii="Times New Roman" w:cs="Times New Roman" w:eastAsia="Times New Roman" w:hAnsi="Times New Roman"/>
                <w:sz w:val="20"/>
                <w:szCs w:val="20"/>
                <w:b w:val="1"/>
                <w:bCs w:val="1"/>
                <w:color w:val="auto"/>
              </w:rPr>
              <w:t>Corporate</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20"/>
                <w:szCs w:val="20"/>
                <w:b w:val="1"/>
                <w:bCs w:val="1"/>
                <w:color w:val="auto"/>
                <w:w w:val="99"/>
              </w:rPr>
              <w:t>Consolidated</w:t>
            </w:r>
          </w:p>
        </w:tc>
        <w:tc>
          <w:tcPr>
            <w:tcW w:w="0" w:type="dxa"/>
            <w:vAlign w:val="bottom"/>
          </w:tcPr>
          <w:p>
            <w:pPr>
              <w:spacing w:after="0"/>
              <w:rPr>
                <w:sz w:val="1"/>
                <w:szCs w:val="1"/>
                <w:color w:val="auto"/>
              </w:rPr>
            </w:pPr>
          </w:p>
        </w:tc>
      </w:tr>
      <w:tr>
        <w:trPr>
          <w:trHeight w:val="250"/>
        </w:trPr>
        <w:tc>
          <w:tcPr>
            <w:tcW w:w="3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rPr>
              <w:t>2026</w:t>
            </w:r>
          </w:p>
        </w:tc>
        <w:tc>
          <w:tcPr>
            <w:tcW w:w="4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178,827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97,837</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20"/>
                <w:szCs w:val="20"/>
                <w:color w:val="auto"/>
              </w:rPr>
              <w:t>(71,011)</w:t>
            </w:r>
          </w:p>
        </w:tc>
        <w:tc>
          <w:tcPr>
            <w:tcW w:w="120" w:type="dxa"/>
            <w:vAlign w:val="bottom"/>
          </w:tcPr>
          <w:p>
            <w:pPr>
              <w:spacing w:after="0"/>
              <w:rPr>
                <w:sz w:val="21"/>
                <w:szCs w:val="21"/>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205,653</w:t>
            </w:r>
          </w:p>
        </w:tc>
        <w:tc>
          <w:tcPr>
            <w:tcW w:w="0" w:type="dxa"/>
            <w:vAlign w:val="bottom"/>
          </w:tcPr>
          <w:p>
            <w:pPr>
              <w:spacing w:after="0"/>
              <w:rPr>
                <w:sz w:val="1"/>
                <w:szCs w:val="1"/>
                <w:color w:val="auto"/>
              </w:rPr>
            </w:pPr>
          </w:p>
        </w:tc>
      </w:tr>
      <w:tr>
        <w:trPr>
          <w:trHeight w:val="269"/>
        </w:trPr>
        <w:tc>
          <w:tcPr>
            <w:tcW w:w="3640" w:type="dxa"/>
            <w:vAlign w:val="bottom"/>
          </w:tcPr>
          <w:p>
            <w:pPr>
              <w:spacing w:after="0"/>
              <w:rPr>
                <w:sz w:val="20"/>
                <w:szCs w:val="20"/>
                <w:color w:val="auto"/>
              </w:rPr>
            </w:pPr>
            <w:r>
              <w:rPr>
                <w:rFonts w:ascii="Times New Roman" w:cs="Times New Roman" w:eastAsia="Times New Roman" w:hAnsi="Times New Roman"/>
                <w:sz w:val="20"/>
                <w:szCs w:val="20"/>
                <w:color w:val="auto"/>
              </w:rPr>
              <w:t>Net income/(loss)</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vMerge w:val="continue"/>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vMerge w:val="continue"/>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gridSpan w:val="2"/>
          </w:tcPr>
          <w:p>
            <w:pPr>
              <w:jc w:val="right"/>
              <w:ind w:right="61"/>
              <w:spacing w:after="0"/>
              <w:rPr>
                <w:sz w:val="20"/>
                <w:szCs w:val="20"/>
                <w:color w:val="auto"/>
              </w:rPr>
            </w:pPr>
            <w:r>
              <w:rPr>
                <w:rFonts w:ascii="Times New Roman" w:cs="Times New Roman" w:eastAsia="Times New Roman" w:hAnsi="Times New Roman"/>
                <w:sz w:val="20"/>
                <w:szCs w:val="20"/>
                <w:color w:val="auto"/>
                <w:w w:val="99"/>
              </w:rPr>
              <w:t>$</w:t>
            </w:r>
          </w:p>
        </w:tc>
        <w:tc>
          <w:tcPr>
            <w:tcW w:w="920" w:type="dxa"/>
            <w:vAlign w:val="bottom"/>
            <w:gridSpan w:val="2"/>
            <w:vMerge w:val="continue"/>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8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640" w:type="dxa"/>
            <w:vAlign w:val="bottom"/>
          </w:tcPr>
          <w:p>
            <w:pPr>
              <w:spacing w:after="0"/>
              <w:rPr>
                <w:sz w:val="20"/>
                <w:szCs w:val="20"/>
                <w:color w:val="auto"/>
              </w:rPr>
            </w:pPr>
            <w:r>
              <w:rPr>
                <w:rFonts w:ascii="Times New Roman" w:cs="Times New Roman" w:eastAsia="Times New Roman" w:hAnsi="Times New Roman"/>
                <w:sz w:val="20"/>
                <w:szCs w:val="20"/>
                <w:color w:val="auto"/>
              </w:rPr>
              <w:t>Add/(deduct):</w:t>
            </w: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158</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466</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3,774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4,398</w:t>
            </w:r>
          </w:p>
        </w:tc>
        <w:tc>
          <w:tcPr>
            <w:tcW w:w="0" w:type="dxa"/>
            <w:vAlign w:val="bottom"/>
          </w:tcPr>
          <w:p>
            <w:pPr>
              <w:spacing w:after="0"/>
              <w:rPr>
                <w:sz w:val="1"/>
                <w:szCs w:val="1"/>
                <w:color w:val="auto"/>
              </w:rPr>
            </w:pPr>
          </w:p>
        </w:tc>
      </w:tr>
      <w:tr>
        <w:trPr>
          <w:trHeight w:val="268"/>
        </w:trPr>
        <w:tc>
          <w:tcPr>
            <w:tcW w:w="364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Interest expense</w:t>
            </w: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vMerge w:val="continue"/>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60" w:type="dxa"/>
            <w:vAlign w:val="bottom"/>
            <w:vMerge w:val="continue"/>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vMerge w:val="continue"/>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64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Income taxes</w:t>
            </w: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56,088</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29,899</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(14,763)</w:t>
            </w:r>
          </w:p>
        </w:tc>
        <w:tc>
          <w:tcPr>
            <w:tcW w:w="1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71,224</w:t>
            </w:r>
          </w:p>
        </w:tc>
        <w:tc>
          <w:tcPr>
            <w:tcW w:w="0" w:type="dxa"/>
            <w:vAlign w:val="bottom"/>
          </w:tcPr>
          <w:p>
            <w:pPr>
              <w:spacing w:after="0"/>
              <w:rPr>
                <w:sz w:val="1"/>
                <w:szCs w:val="1"/>
                <w:color w:val="auto"/>
              </w:rPr>
            </w:pPr>
          </w:p>
        </w:tc>
      </w:tr>
      <w:tr>
        <w:trPr>
          <w:trHeight w:val="270"/>
        </w:trPr>
        <w:tc>
          <w:tcPr>
            <w:tcW w:w="364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Depreciation</w:t>
            </w: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17,484</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25,477</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42,997</w:t>
            </w:r>
          </w:p>
        </w:tc>
        <w:tc>
          <w:tcPr>
            <w:tcW w:w="0" w:type="dxa"/>
            <w:vAlign w:val="bottom"/>
          </w:tcPr>
          <w:p>
            <w:pPr>
              <w:spacing w:after="0"/>
              <w:rPr>
                <w:sz w:val="1"/>
                <w:szCs w:val="1"/>
                <w:color w:val="auto"/>
              </w:rPr>
            </w:pPr>
          </w:p>
        </w:tc>
      </w:tr>
      <w:tr>
        <w:trPr>
          <w:trHeight w:val="252"/>
        </w:trPr>
        <w:tc>
          <w:tcPr>
            <w:tcW w:w="364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Amortization</w:t>
            </w: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78</w:t>
            </w: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8,185</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8,263</w:t>
            </w:r>
          </w:p>
        </w:tc>
        <w:tc>
          <w:tcPr>
            <w:tcW w:w="0" w:type="dxa"/>
            <w:vAlign w:val="bottom"/>
          </w:tcPr>
          <w:p>
            <w:pPr>
              <w:spacing w:after="0"/>
              <w:rPr>
                <w:sz w:val="1"/>
                <w:szCs w:val="1"/>
                <w:color w:val="auto"/>
              </w:rPr>
            </w:pPr>
          </w:p>
        </w:tc>
      </w:tr>
      <w:tr>
        <w:trPr>
          <w:trHeight w:val="270"/>
        </w:trPr>
        <w:tc>
          <w:tcPr>
            <w:tcW w:w="364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EBITDA</w:t>
            </w: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252,635</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161,864</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(81,964)</w:t>
            </w:r>
          </w:p>
        </w:tc>
        <w:tc>
          <w:tcPr>
            <w:tcW w:w="1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332,535</w:t>
            </w:r>
          </w:p>
        </w:tc>
        <w:tc>
          <w:tcPr>
            <w:tcW w:w="0" w:type="dxa"/>
            <w:vAlign w:val="bottom"/>
          </w:tcPr>
          <w:p>
            <w:pPr>
              <w:spacing w:after="0"/>
              <w:rPr>
                <w:sz w:val="1"/>
                <w:szCs w:val="1"/>
                <w:color w:val="auto"/>
              </w:rPr>
            </w:pPr>
          </w:p>
        </w:tc>
      </w:tr>
      <w:tr>
        <w:trPr>
          <w:trHeight w:val="270"/>
        </w:trPr>
        <w:tc>
          <w:tcPr>
            <w:tcW w:w="3640" w:type="dxa"/>
            <w:vAlign w:val="bottom"/>
          </w:tcPr>
          <w:p>
            <w:pPr>
              <w:spacing w:after="0"/>
              <w:rPr>
                <w:sz w:val="20"/>
                <w:szCs w:val="20"/>
                <w:color w:val="auto"/>
              </w:rPr>
            </w:pPr>
            <w:r>
              <w:rPr>
                <w:rFonts w:ascii="Times New Roman" w:cs="Times New Roman" w:eastAsia="Times New Roman" w:hAnsi="Times New Roman"/>
                <w:sz w:val="20"/>
                <w:szCs w:val="20"/>
                <w:color w:val="auto"/>
              </w:rPr>
              <w:t>Add/(deduct):</w:t>
            </w: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20"/>
                <w:szCs w:val="20"/>
                <w:color w:val="auto"/>
              </w:rPr>
              <w:t>(19,484)</w:t>
            </w:r>
          </w:p>
        </w:tc>
        <w:tc>
          <w:tcPr>
            <w:tcW w:w="100" w:type="dxa"/>
            <w:vAlign w:val="bottom"/>
          </w:tcPr>
          <w:p>
            <w:pPr>
              <w:spacing w:after="0"/>
              <w:rPr>
                <w:sz w:val="23"/>
                <w:szCs w:val="23"/>
                <w:color w:val="auto"/>
              </w:rPr>
            </w:pPr>
          </w:p>
        </w:tc>
        <w:tc>
          <w:tcPr>
            <w:tcW w:w="12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20"/>
                <w:szCs w:val="20"/>
                <w:color w:val="auto"/>
              </w:rPr>
              <w:t>(13,661)</w:t>
            </w: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33,145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8"/>
        </w:trPr>
        <w:tc>
          <w:tcPr>
            <w:tcW w:w="3640" w:type="dxa"/>
            <w:vAlign w:val="bottom"/>
          </w:tcPr>
          <w:p>
            <w:pPr>
              <w:ind w:left="420"/>
              <w:spacing w:after="0"/>
              <w:rPr>
                <w:sz w:val="20"/>
                <w:szCs w:val="20"/>
                <w:color w:val="auto"/>
              </w:rPr>
            </w:pPr>
            <w:r>
              <w:rPr>
                <w:rFonts w:ascii="Times New Roman" w:cs="Times New Roman" w:eastAsia="Times New Roman" w:hAnsi="Times New Roman"/>
                <w:sz w:val="20"/>
                <w:szCs w:val="20"/>
                <w:color w:val="auto"/>
                <w:w w:val="99"/>
              </w:rPr>
              <w:t>Intercompany interest expense/(income)</w:t>
            </w: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gridSpan w:val="2"/>
            <w:vMerge w:val="continue"/>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gridSpan w:val="2"/>
            <w:vMerge w:val="continue"/>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vMerge w:val="continue"/>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70"/>
        </w:trPr>
        <w:tc>
          <w:tcPr>
            <w:tcW w:w="364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Interest income</w:t>
            </w: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(274)</w:t>
            </w:r>
          </w:p>
        </w:tc>
        <w:tc>
          <w:tcPr>
            <w:tcW w:w="100" w:type="dxa"/>
            <w:vAlign w:val="bottom"/>
          </w:tcPr>
          <w:p>
            <w:pPr>
              <w:spacing w:after="0"/>
              <w:rPr>
                <w:sz w:val="23"/>
                <w:szCs w:val="23"/>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(31)</w:t>
            </w: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(1,094)</w:t>
            </w:r>
          </w:p>
        </w:tc>
        <w:tc>
          <w:tcPr>
            <w:tcW w:w="1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(1,399)</w:t>
            </w:r>
          </w:p>
        </w:tc>
        <w:tc>
          <w:tcPr>
            <w:tcW w:w="0" w:type="dxa"/>
            <w:vAlign w:val="bottom"/>
          </w:tcPr>
          <w:p>
            <w:pPr>
              <w:spacing w:after="0"/>
              <w:rPr>
                <w:sz w:val="1"/>
                <w:szCs w:val="1"/>
                <w:color w:val="auto"/>
              </w:rPr>
            </w:pPr>
          </w:p>
        </w:tc>
      </w:tr>
      <w:tr>
        <w:trPr>
          <w:trHeight w:val="270"/>
        </w:trPr>
        <w:tc>
          <w:tcPr>
            <w:tcW w:w="364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Stock option expense</w:t>
            </w: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3"/>
                <w:szCs w:val="23"/>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24,285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24,285</w:t>
            </w:r>
          </w:p>
        </w:tc>
        <w:tc>
          <w:tcPr>
            <w:tcW w:w="0" w:type="dxa"/>
            <w:vAlign w:val="bottom"/>
          </w:tcPr>
          <w:p>
            <w:pPr>
              <w:spacing w:after="0"/>
              <w:rPr>
                <w:sz w:val="1"/>
                <w:szCs w:val="1"/>
                <w:color w:val="auto"/>
              </w:rPr>
            </w:pPr>
          </w:p>
        </w:tc>
      </w:tr>
      <w:tr>
        <w:trPr>
          <w:trHeight w:val="270"/>
        </w:trPr>
        <w:tc>
          <w:tcPr>
            <w:tcW w:w="364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Legal settlements</w:t>
            </w: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7,253</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7,561</w:t>
            </w:r>
          </w:p>
        </w:tc>
        <w:tc>
          <w:tcPr>
            <w:tcW w:w="0" w:type="dxa"/>
            <w:vAlign w:val="bottom"/>
          </w:tcPr>
          <w:p>
            <w:pPr>
              <w:spacing w:after="0"/>
              <w:rPr>
                <w:sz w:val="1"/>
                <w:szCs w:val="1"/>
                <w:color w:val="auto"/>
              </w:rPr>
            </w:pPr>
          </w:p>
        </w:tc>
      </w:tr>
      <w:tr>
        <w:trPr>
          <w:trHeight w:val="270"/>
        </w:trPr>
        <w:tc>
          <w:tcPr>
            <w:tcW w:w="364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Long-term incentive compensation</w:t>
            </w: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3"/>
                <w:szCs w:val="23"/>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6,904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6,904</w:t>
            </w:r>
          </w:p>
        </w:tc>
        <w:tc>
          <w:tcPr>
            <w:tcW w:w="0" w:type="dxa"/>
            <w:vAlign w:val="bottom"/>
          </w:tcPr>
          <w:p>
            <w:pPr>
              <w:spacing w:after="0"/>
              <w:rPr>
                <w:sz w:val="1"/>
                <w:szCs w:val="1"/>
                <w:color w:val="auto"/>
              </w:rPr>
            </w:pPr>
          </w:p>
        </w:tc>
      </w:tr>
      <w:tr>
        <w:trPr>
          <w:trHeight w:val="252"/>
        </w:trPr>
        <w:tc>
          <w:tcPr>
            <w:tcW w:w="364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Acquisition expense</w:t>
            </w: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1,953</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1,961</w:t>
            </w:r>
          </w:p>
        </w:tc>
        <w:tc>
          <w:tcPr>
            <w:tcW w:w="0" w:type="dxa"/>
            <w:vAlign w:val="bottom"/>
          </w:tcPr>
          <w:p>
            <w:pPr>
              <w:spacing w:after="0"/>
              <w:rPr>
                <w:sz w:val="1"/>
                <w:szCs w:val="1"/>
                <w:color w:val="auto"/>
              </w:rPr>
            </w:pPr>
          </w:p>
        </w:tc>
      </w:tr>
      <w:tr>
        <w:trPr>
          <w:trHeight w:val="243"/>
        </w:trPr>
        <w:tc>
          <w:tcPr>
            <w:tcW w:w="364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Adjusted EBITDA</w:t>
            </w:r>
          </w:p>
        </w:tc>
        <w:tc>
          <w:tcPr>
            <w:tcW w:w="540" w:type="dxa"/>
            <w:vAlign w:val="bottom"/>
            <w:gridSpan w:val="2"/>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240,138</w:t>
            </w:r>
          </w:p>
        </w:tc>
        <w:tc>
          <w:tcPr>
            <w:tcW w:w="12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150,125</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(18,416)</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371,847</w:t>
            </w:r>
          </w:p>
        </w:tc>
        <w:tc>
          <w:tcPr>
            <w:tcW w:w="0" w:type="dxa"/>
            <w:vAlign w:val="bottom"/>
          </w:tcPr>
          <w:p>
            <w:pPr>
              <w:spacing w:after="0"/>
              <w:rPr>
                <w:sz w:val="1"/>
                <w:szCs w:val="1"/>
                <w:color w:val="auto"/>
              </w:rPr>
            </w:pPr>
          </w:p>
        </w:tc>
      </w:tr>
      <w:tr>
        <w:trPr>
          <w:trHeight w:val="257"/>
        </w:trPr>
        <w:tc>
          <w:tcPr>
            <w:tcW w:w="3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2025</w:t>
            </w:r>
          </w:p>
        </w:tc>
        <w:tc>
          <w:tcPr>
            <w:tcW w:w="4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135,021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103,928</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20"/>
                <w:szCs w:val="20"/>
                <w:color w:val="auto"/>
              </w:rPr>
              <w:t>(50,462)</w:t>
            </w:r>
          </w:p>
        </w:tc>
        <w:tc>
          <w:tcPr>
            <w:tcW w:w="120" w:type="dxa"/>
            <w:vAlign w:val="bottom"/>
          </w:tcPr>
          <w:p>
            <w:pPr>
              <w:spacing w:after="0"/>
              <w:rPr>
                <w:sz w:val="22"/>
                <w:szCs w:val="22"/>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188,487</w:t>
            </w:r>
          </w:p>
        </w:tc>
        <w:tc>
          <w:tcPr>
            <w:tcW w:w="0" w:type="dxa"/>
            <w:vAlign w:val="bottom"/>
          </w:tcPr>
          <w:p>
            <w:pPr>
              <w:spacing w:after="0"/>
              <w:rPr>
                <w:sz w:val="1"/>
                <w:szCs w:val="1"/>
                <w:color w:val="auto"/>
              </w:rPr>
            </w:pPr>
          </w:p>
        </w:tc>
      </w:tr>
      <w:tr>
        <w:trPr>
          <w:trHeight w:val="270"/>
        </w:trPr>
        <w:tc>
          <w:tcPr>
            <w:tcW w:w="3640" w:type="dxa"/>
            <w:vAlign w:val="bottom"/>
          </w:tcPr>
          <w:p>
            <w:pPr>
              <w:spacing w:after="0"/>
              <w:rPr>
                <w:sz w:val="20"/>
                <w:szCs w:val="20"/>
                <w:color w:val="auto"/>
              </w:rPr>
            </w:pPr>
            <w:r>
              <w:rPr>
                <w:rFonts w:ascii="Times New Roman" w:cs="Times New Roman" w:eastAsia="Times New Roman" w:hAnsi="Times New Roman"/>
                <w:sz w:val="20"/>
                <w:szCs w:val="20"/>
                <w:color w:val="auto"/>
              </w:rPr>
              <w:t>Net income/(loss)</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vMerge w:val="continue"/>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vMerge w:val="continue"/>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gridSpan w:val="2"/>
          </w:tcPr>
          <w:p>
            <w:pPr>
              <w:jc w:val="right"/>
              <w:ind w:right="61"/>
              <w:spacing w:after="0"/>
              <w:rPr>
                <w:sz w:val="20"/>
                <w:szCs w:val="20"/>
                <w:color w:val="auto"/>
              </w:rPr>
            </w:pPr>
            <w:r>
              <w:rPr>
                <w:rFonts w:ascii="Times New Roman" w:cs="Times New Roman" w:eastAsia="Times New Roman" w:hAnsi="Times New Roman"/>
                <w:sz w:val="20"/>
                <w:szCs w:val="20"/>
                <w:color w:val="auto"/>
                <w:w w:val="99"/>
              </w:rPr>
              <w:t>$</w:t>
            </w:r>
          </w:p>
        </w:tc>
        <w:tc>
          <w:tcPr>
            <w:tcW w:w="920" w:type="dxa"/>
            <w:vAlign w:val="bottom"/>
            <w:gridSpan w:val="2"/>
            <w:vMerge w:val="continue"/>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8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640" w:type="dxa"/>
            <w:vAlign w:val="bottom"/>
          </w:tcPr>
          <w:p>
            <w:pPr>
              <w:spacing w:after="0"/>
              <w:rPr>
                <w:sz w:val="20"/>
                <w:szCs w:val="20"/>
                <w:color w:val="auto"/>
              </w:rPr>
            </w:pPr>
            <w:r>
              <w:rPr>
                <w:rFonts w:ascii="Times New Roman" w:cs="Times New Roman" w:eastAsia="Times New Roman" w:hAnsi="Times New Roman"/>
                <w:sz w:val="20"/>
                <w:szCs w:val="20"/>
                <w:color w:val="auto"/>
              </w:rPr>
              <w:t>Add/(deduct):</w:t>
            </w: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150</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394</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685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1,229</w:t>
            </w:r>
          </w:p>
        </w:tc>
        <w:tc>
          <w:tcPr>
            <w:tcW w:w="0" w:type="dxa"/>
            <w:vAlign w:val="bottom"/>
          </w:tcPr>
          <w:p>
            <w:pPr>
              <w:spacing w:after="0"/>
              <w:rPr>
                <w:sz w:val="1"/>
                <w:szCs w:val="1"/>
                <w:color w:val="auto"/>
              </w:rPr>
            </w:pPr>
          </w:p>
        </w:tc>
      </w:tr>
      <w:tr>
        <w:trPr>
          <w:trHeight w:val="268"/>
        </w:trPr>
        <w:tc>
          <w:tcPr>
            <w:tcW w:w="364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Interest expense</w:t>
            </w: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vMerge w:val="continue"/>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60" w:type="dxa"/>
            <w:vAlign w:val="bottom"/>
            <w:vMerge w:val="continue"/>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vMerge w:val="continue"/>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64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Income taxes</w:t>
            </w: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45,353</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32,344</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(15,851)</w:t>
            </w:r>
          </w:p>
        </w:tc>
        <w:tc>
          <w:tcPr>
            <w:tcW w:w="1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61,846</w:t>
            </w:r>
          </w:p>
        </w:tc>
        <w:tc>
          <w:tcPr>
            <w:tcW w:w="0" w:type="dxa"/>
            <w:vAlign w:val="bottom"/>
          </w:tcPr>
          <w:p>
            <w:pPr>
              <w:spacing w:after="0"/>
              <w:rPr>
                <w:sz w:val="1"/>
                <w:szCs w:val="1"/>
                <w:color w:val="auto"/>
              </w:rPr>
            </w:pPr>
          </w:p>
        </w:tc>
      </w:tr>
      <w:tr>
        <w:trPr>
          <w:trHeight w:val="270"/>
        </w:trPr>
        <w:tc>
          <w:tcPr>
            <w:tcW w:w="364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Depreciation</w:t>
            </w: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15,863</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24,899</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40,798</w:t>
            </w:r>
          </w:p>
        </w:tc>
        <w:tc>
          <w:tcPr>
            <w:tcW w:w="0" w:type="dxa"/>
            <w:vAlign w:val="bottom"/>
          </w:tcPr>
          <w:p>
            <w:pPr>
              <w:spacing w:after="0"/>
              <w:rPr>
                <w:sz w:val="1"/>
                <w:szCs w:val="1"/>
                <w:color w:val="auto"/>
              </w:rPr>
            </w:pPr>
          </w:p>
        </w:tc>
      </w:tr>
      <w:tr>
        <w:trPr>
          <w:trHeight w:val="252"/>
        </w:trPr>
        <w:tc>
          <w:tcPr>
            <w:tcW w:w="364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Amortization</w:t>
            </w: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78</w:t>
            </w: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7,635</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7,713</w:t>
            </w:r>
          </w:p>
        </w:tc>
        <w:tc>
          <w:tcPr>
            <w:tcW w:w="0" w:type="dxa"/>
            <w:vAlign w:val="bottom"/>
          </w:tcPr>
          <w:p>
            <w:pPr>
              <w:spacing w:after="0"/>
              <w:rPr>
                <w:sz w:val="1"/>
                <w:szCs w:val="1"/>
                <w:color w:val="auto"/>
              </w:rPr>
            </w:pPr>
          </w:p>
        </w:tc>
      </w:tr>
      <w:tr>
        <w:trPr>
          <w:trHeight w:val="270"/>
        </w:trPr>
        <w:tc>
          <w:tcPr>
            <w:tcW w:w="364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EBITDA</w:t>
            </w: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196,465</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169,200</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(65,592)</w:t>
            </w:r>
          </w:p>
        </w:tc>
        <w:tc>
          <w:tcPr>
            <w:tcW w:w="1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300,073</w:t>
            </w:r>
          </w:p>
        </w:tc>
        <w:tc>
          <w:tcPr>
            <w:tcW w:w="0" w:type="dxa"/>
            <w:vAlign w:val="bottom"/>
          </w:tcPr>
          <w:p>
            <w:pPr>
              <w:spacing w:after="0"/>
              <w:rPr>
                <w:sz w:val="1"/>
                <w:szCs w:val="1"/>
                <w:color w:val="auto"/>
              </w:rPr>
            </w:pPr>
          </w:p>
        </w:tc>
      </w:tr>
      <w:tr>
        <w:trPr>
          <w:trHeight w:val="270"/>
        </w:trPr>
        <w:tc>
          <w:tcPr>
            <w:tcW w:w="3640" w:type="dxa"/>
            <w:vAlign w:val="bottom"/>
          </w:tcPr>
          <w:p>
            <w:pPr>
              <w:spacing w:after="0"/>
              <w:rPr>
                <w:sz w:val="20"/>
                <w:szCs w:val="20"/>
                <w:color w:val="auto"/>
              </w:rPr>
            </w:pPr>
            <w:r>
              <w:rPr>
                <w:rFonts w:ascii="Times New Roman" w:cs="Times New Roman" w:eastAsia="Times New Roman" w:hAnsi="Times New Roman"/>
                <w:sz w:val="20"/>
                <w:szCs w:val="20"/>
                <w:color w:val="auto"/>
              </w:rPr>
              <w:t>Add/(deduct):</w:t>
            </w: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20"/>
                <w:szCs w:val="20"/>
                <w:color w:val="auto"/>
              </w:rPr>
              <w:t>(16,436)</w:t>
            </w:r>
          </w:p>
        </w:tc>
        <w:tc>
          <w:tcPr>
            <w:tcW w:w="100" w:type="dxa"/>
            <w:vAlign w:val="bottom"/>
          </w:tcPr>
          <w:p>
            <w:pPr>
              <w:spacing w:after="0"/>
              <w:rPr>
                <w:sz w:val="23"/>
                <w:szCs w:val="23"/>
                <w:color w:val="auto"/>
              </w:rPr>
            </w:pPr>
          </w:p>
        </w:tc>
        <w:tc>
          <w:tcPr>
            <w:tcW w:w="12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20"/>
                <w:szCs w:val="20"/>
                <w:color w:val="auto"/>
              </w:rPr>
              <w:t>(11,930)</w:t>
            </w: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28,366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8"/>
        </w:trPr>
        <w:tc>
          <w:tcPr>
            <w:tcW w:w="3640" w:type="dxa"/>
            <w:vAlign w:val="bottom"/>
          </w:tcPr>
          <w:p>
            <w:pPr>
              <w:ind w:left="420"/>
              <w:spacing w:after="0"/>
              <w:rPr>
                <w:sz w:val="20"/>
                <w:szCs w:val="20"/>
                <w:color w:val="auto"/>
              </w:rPr>
            </w:pPr>
            <w:r>
              <w:rPr>
                <w:rFonts w:ascii="Times New Roman" w:cs="Times New Roman" w:eastAsia="Times New Roman" w:hAnsi="Times New Roman"/>
                <w:sz w:val="20"/>
                <w:szCs w:val="20"/>
                <w:color w:val="auto"/>
                <w:w w:val="99"/>
              </w:rPr>
              <w:t>Intercompany interest expense/(income)</w:t>
            </w: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gridSpan w:val="2"/>
            <w:vMerge w:val="continue"/>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gridSpan w:val="2"/>
            <w:vMerge w:val="continue"/>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vMerge w:val="continue"/>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70"/>
        </w:trPr>
        <w:tc>
          <w:tcPr>
            <w:tcW w:w="364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Interest income</w:t>
            </w: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(176)</w:t>
            </w:r>
          </w:p>
        </w:tc>
        <w:tc>
          <w:tcPr>
            <w:tcW w:w="100" w:type="dxa"/>
            <w:vAlign w:val="bottom"/>
          </w:tcPr>
          <w:p>
            <w:pPr>
              <w:spacing w:after="0"/>
              <w:rPr>
                <w:sz w:val="23"/>
                <w:szCs w:val="23"/>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(58)</w:t>
            </w: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(6,952)</w:t>
            </w:r>
          </w:p>
        </w:tc>
        <w:tc>
          <w:tcPr>
            <w:tcW w:w="1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(7,186)</w:t>
            </w:r>
          </w:p>
        </w:tc>
        <w:tc>
          <w:tcPr>
            <w:tcW w:w="0" w:type="dxa"/>
            <w:vAlign w:val="bottom"/>
          </w:tcPr>
          <w:p>
            <w:pPr>
              <w:spacing w:after="0"/>
              <w:rPr>
                <w:sz w:val="1"/>
                <w:szCs w:val="1"/>
                <w:color w:val="auto"/>
              </w:rPr>
            </w:pPr>
          </w:p>
        </w:tc>
      </w:tr>
      <w:tr>
        <w:trPr>
          <w:trHeight w:val="270"/>
        </w:trPr>
        <w:tc>
          <w:tcPr>
            <w:tcW w:w="364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Stock option expense</w:t>
            </w: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3"/>
                <w:szCs w:val="23"/>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24,374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24,374</w:t>
            </w:r>
          </w:p>
        </w:tc>
        <w:tc>
          <w:tcPr>
            <w:tcW w:w="0" w:type="dxa"/>
            <w:vAlign w:val="bottom"/>
          </w:tcPr>
          <w:p>
            <w:pPr>
              <w:spacing w:after="0"/>
              <w:rPr>
                <w:sz w:val="1"/>
                <w:szCs w:val="1"/>
                <w:color w:val="auto"/>
              </w:rPr>
            </w:pPr>
          </w:p>
        </w:tc>
      </w:tr>
      <w:tr>
        <w:trPr>
          <w:trHeight w:val="270"/>
        </w:trPr>
        <w:tc>
          <w:tcPr>
            <w:tcW w:w="364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Long-term incentive compensation</w:t>
            </w: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3"/>
                <w:szCs w:val="23"/>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3,294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3,294</w:t>
            </w:r>
          </w:p>
        </w:tc>
        <w:tc>
          <w:tcPr>
            <w:tcW w:w="0" w:type="dxa"/>
            <w:vAlign w:val="bottom"/>
          </w:tcPr>
          <w:p>
            <w:pPr>
              <w:spacing w:after="0"/>
              <w:rPr>
                <w:sz w:val="1"/>
                <w:szCs w:val="1"/>
                <w:color w:val="auto"/>
              </w:rPr>
            </w:pPr>
          </w:p>
        </w:tc>
      </w:tr>
      <w:tr>
        <w:trPr>
          <w:trHeight w:val="270"/>
        </w:trPr>
        <w:tc>
          <w:tcPr>
            <w:tcW w:w="364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Legal settlements</w:t>
            </w: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2,850</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2,850</w:t>
            </w:r>
          </w:p>
        </w:tc>
        <w:tc>
          <w:tcPr>
            <w:tcW w:w="0" w:type="dxa"/>
            <w:vAlign w:val="bottom"/>
          </w:tcPr>
          <w:p>
            <w:pPr>
              <w:spacing w:after="0"/>
              <w:rPr>
                <w:sz w:val="1"/>
                <w:szCs w:val="1"/>
                <w:color w:val="auto"/>
              </w:rPr>
            </w:pPr>
          </w:p>
        </w:tc>
      </w:tr>
      <w:tr>
        <w:trPr>
          <w:trHeight w:val="252"/>
        </w:trPr>
        <w:tc>
          <w:tcPr>
            <w:tcW w:w="364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Other</w:t>
            </w: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1"/>
                <w:szCs w:val="21"/>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2,665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2,665</w:t>
            </w:r>
          </w:p>
        </w:tc>
        <w:tc>
          <w:tcPr>
            <w:tcW w:w="0" w:type="dxa"/>
            <w:vAlign w:val="bottom"/>
          </w:tcPr>
          <w:p>
            <w:pPr>
              <w:spacing w:after="0"/>
              <w:rPr>
                <w:sz w:val="1"/>
                <w:szCs w:val="1"/>
                <w:color w:val="auto"/>
              </w:rPr>
            </w:pPr>
          </w:p>
        </w:tc>
      </w:tr>
      <w:tr>
        <w:trPr>
          <w:trHeight w:val="243"/>
        </w:trPr>
        <w:tc>
          <w:tcPr>
            <w:tcW w:w="364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Adjusted EBITDA</w:t>
            </w:r>
          </w:p>
        </w:tc>
        <w:tc>
          <w:tcPr>
            <w:tcW w:w="540" w:type="dxa"/>
            <w:vAlign w:val="bottom"/>
            <w:gridSpan w:val="2"/>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182,703</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157,212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61"/>
              <w:spacing w:after="0"/>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(13,845)</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326,070</w:t>
            </w:r>
          </w:p>
        </w:tc>
        <w:tc>
          <w:tcPr>
            <w:tcW w:w="0" w:type="dxa"/>
            <w:vAlign w:val="bottom"/>
          </w:tcPr>
          <w:p>
            <w:pPr>
              <w:spacing w:after="0"/>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"Footnotes to Financial Statements" are integral parts of this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464185</wp:posOffset>
            </wp:positionV>
            <wp:extent cx="6000115" cy="514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000115" cy="51435"/>
                    </a:xfrm>
                    <a:prstGeom prst="rect">
                      <a:avLst/>
                    </a:prstGeom>
                    <a:noFill/>
                  </pic:spPr>
                </pic:pic>
              </a:graphicData>
            </a:graphic>
          </wp:anchor>
        </w:drawing>
      </w:r>
    </w:p>
    <w:p>
      <w:pPr>
        <w:sectPr>
          <w:pgSz w:w="11900" w:h="16838" w:orient="portrait"/>
          <w:cols w:equalWidth="0" w:num="1">
            <w:col w:w="9479"/>
          </w:cols>
          <w:pgMar w:left="980" w:top="329" w:right="1440" w:bottom="1440" w:gutter="0" w:footer="0" w:header="0"/>
        </w:sectPr>
      </w:pPr>
    </w:p>
    <w:bookmarkStart w:id="15" w:name="page16"/>
    <w:bookmarkEnd w:id="15"/>
    <w:p>
      <w:pPr>
        <w:jc w:val="center"/>
        <w:ind w:left="980" w:right="1980"/>
        <w:spacing w:after="0" w:line="291" w:lineRule="auto"/>
        <w:rPr>
          <w:sz w:val="20"/>
          <w:szCs w:val="20"/>
          <w:color w:val="auto"/>
        </w:rPr>
      </w:pPr>
      <w:r>
        <w:rPr>
          <w:rFonts w:ascii="Times New Roman" w:cs="Times New Roman" w:eastAsia="Times New Roman" w:hAnsi="Times New Roman"/>
          <w:sz w:val="20"/>
          <w:szCs w:val="20"/>
          <w:b w:val="1"/>
          <w:bCs w:val="1"/>
          <w:color w:val="auto"/>
        </w:rPr>
        <w:t xml:space="preserve">CHEMED CORPORATION AND SUBSIDIARY COMPANIES RECONCILIATION OF ADJUSTED NET INCOME </w:t>
      </w:r>
      <w:r>
        <w:rPr>
          <w:rFonts w:ascii="Times New Roman" w:cs="Times New Roman" w:eastAsia="Times New Roman" w:hAnsi="Times New Roman"/>
          <w:sz w:val="20"/>
          <w:szCs w:val="20"/>
          <w:color w:val="auto"/>
        </w:rPr>
        <w:t>(in thousands, except per share data)(unaudited)</w:t>
      </w:r>
    </w:p>
    <w:p>
      <w:pPr>
        <w:spacing w:after="0" w:line="200" w:lineRule="exact"/>
        <w:rPr>
          <w:sz w:val="20"/>
          <w:szCs w:val="20"/>
          <w:color w:val="auto"/>
        </w:rPr>
      </w:pPr>
    </w:p>
    <w:p>
      <w:pPr>
        <w:spacing w:after="0" w:line="304" w:lineRule="exact"/>
        <w:rPr>
          <w:sz w:val="20"/>
          <w:szCs w:val="20"/>
          <w:color w:val="auto"/>
        </w:rPr>
      </w:pPr>
    </w:p>
    <w:tbl>
      <w:tblPr>
        <w:tblLayout w:type="fixed"/>
        <w:tblInd w:w="4" w:type="dxa"/>
        <w:tblCellMar>
          <w:top w:w="0" w:type="dxa"/>
          <w:left w:w="0" w:type="dxa"/>
          <w:bottom w:w="0" w:type="dxa"/>
          <w:right w:w="0" w:type="dxa"/>
        </w:tblCellMar>
      </w:tblPr>
      <w:tr>
        <w:trPr>
          <w:trHeight w:val="258"/>
        </w:trPr>
        <w:tc>
          <w:tcPr>
            <w:tcW w:w="4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60" w:type="dxa"/>
            <w:vAlign w:val="bottom"/>
            <w:gridSpan w:val="6"/>
          </w:tcPr>
          <w:p>
            <w:pPr>
              <w:jc w:val="right"/>
              <w:ind w:right="440"/>
              <w:spacing w:after="0"/>
              <w:rPr>
                <w:sz w:val="20"/>
                <w:szCs w:val="20"/>
                <w:color w:val="auto"/>
              </w:rPr>
            </w:pPr>
            <w:r>
              <w:rPr>
                <w:rFonts w:ascii="Times New Roman" w:cs="Times New Roman" w:eastAsia="Times New Roman" w:hAnsi="Times New Roman"/>
                <w:sz w:val="20"/>
                <w:szCs w:val="20"/>
                <w:color w:val="auto"/>
              </w:rPr>
              <w:t>Three Months Ended</w:t>
            </w: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180" w:type="dxa"/>
            <w:vAlign w:val="bottom"/>
            <w:gridSpan w:val="5"/>
          </w:tcPr>
          <w:p>
            <w:pPr>
              <w:jc w:val="right"/>
              <w:ind w:right="301"/>
              <w:spacing w:after="0"/>
              <w:rPr>
                <w:sz w:val="20"/>
                <w:szCs w:val="20"/>
                <w:color w:val="auto"/>
              </w:rPr>
            </w:pPr>
            <w:r>
              <w:rPr>
                <w:rFonts w:ascii="Times New Roman" w:cs="Times New Roman" w:eastAsia="Times New Roman" w:hAnsi="Times New Roman"/>
                <w:sz w:val="20"/>
                <w:szCs w:val="20"/>
                <w:color w:val="auto"/>
              </w:rPr>
              <w:t>Nine Months Ended</w:t>
            </w:r>
          </w:p>
        </w:tc>
        <w:tc>
          <w:tcPr>
            <w:tcW w:w="0" w:type="dxa"/>
            <w:vAlign w:val="bottom"/>
          </w:tcPr>
          <w:p>
            <w:pPr>
              <w:spacing w:after="0"/>
              <w:rPr>
                <w:sz w:val="1"/>
                <w:szCs w:val="1"/>
                <w:color w:val="auto"/>
              </w:rPr>
            </w:pPr>
          </w:p>
        </w:tc>
      </w:tr>
      <w:tr>
        <w:trPr>
          <w:trHeight w:val="250"/>
        </w:trPr>
        <w:tc>
          <w:tcPr>
            <w:tcW w:w="4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60" w:type="dxa"/>
            <w:vAlign w:val="bottom"/>
            <w:gridSpan w:val="6"/>
          </w:tcPr>
          <w:p>
            <w:pPr>
              <w:jc w:val="right"/>
              <w:ind w:right="700"/>
              <w:spacing w:after="0"/>
              <w:rPr>
                <w:sz w:val="20"/>
                <w:szCs w:val="20"/>
                <w:color w:val="auto"/>
              </w:rPr>
            </w:pPr>
            <w:r>
              <w:rPr>
                <w:rFonts w:ascii="Times New Roman" w:cs="Times New Roman" w:eastAsia="Times New Roman" w:hAnsi="Times New Roman"/>
                <w:sz w:val="20"/>
                <w:szCs w:val="20"/>
                <w:color w:val="auto"/>
              </w:rPr>
              <w:t>September 30,</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180" w:type="dxa"/>
            <w:vAlign w:val="bottom"/>
            <w:gridSpan w:val="5"/>
          </w:tcPr>
          <w:p>
            <w:pPr>
              <w:jc w:val="right"/>
              <w:ind w:right="541"/>
              <w:spacing w:after="0"/>
              <w:rPr>
                <w:sz w:val="20"/>
                <w:szCs w:val="20"/>
                <w:color w:val="auto"/>
              </w:rPr>
            </w:pPr>
            <w:r>
              <w:rPr>
                <w:rFonts w:ascii="Times New Roman" w:cs="Times New Roman" w:eastAsia="Times New Roman" w:hAnsi="Times New Roman"/>
                <w:sz w:val="20"/>
                <w:szCs w:val="20"/>
                <w:color w:val="auto"/>
              </w:rPr>
              <w:t>September 30,</w:t>
            </w:r>
          </w:p>
        </w:tc>
        <w:tc>
          <w:tcPr>
            <w:tcW w:w="0" w:type="dxa"/>
            <w:vAlign w:val="bottom"/>
          </w:tcPr>
          <w:p>
            <w:pPr>
              <w:spacing w:after="0"/>
              <w:rPr>
                <w:sz w:val="1"/>
                <w:szCs w:val="1"/>
                <w:color w:val="auto"/>
              </w:rPr>
            </w:pPr>
          </w:p>
        </w:tc>
      </w:tr>
      <w:tr>
        <w:trPr>
          <w:trHeight w:val="250"/>
        </w:trPr>
        <w:tc>
          <w:tcPr>
            <w:tcW w:w="4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301"/>
              <w:spacing w:after="0"/>
              <w:rPr>
                <w:sz w:val="20"/>
                <w:szCs w:val="20"/>
                <w:color w:val="auto"/>
              </w:rPr>
            </w:pPr>
            <w:r>
              <w:rPr>
                <w:rFonts w:ascii="Times New Roman" w:cs="Times New Roman" w:eastAsia="Times New Roman" w:hAnsi="Times New Roman"/>
                <w:sz w:val="20"/>
                <w:szCs w:val="20"/>
                <w:b w:val="1"/>
                <w:bCs w:val="1"/>
                <w:color w:val="auto"/>
              </w:rPr>
              <w:t>2026</w:t>
            </w:r>
          </w:p>
        </w:tc>
        <w:tc>
          <w:tcPr>
            <w:tcW w:w="4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281"/>
              <w:spacing w:after="0"/>
              <w:rPr>
                <w:sz w:val="20"/>
                <w:szCs w:val="20"/>
                <w:color w:val="auto"/>
              </w:rPr>
            </w:pPr>
            <w:r>
              <w:rPr>
                <w:rFonts w:ascii="Times New Roman" w:cs="Times New Roman" w:eastAsia="Times New Roman" w:hAnsi="Times New Roman"/>
                <w:sz w:val="20"/>
                <w:szCs w:val="20"/>
                <w:color w:val="auto"/>
              </w:rPr>
              <w:t>2025</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281"/>
              <w:spacing w:after="0"/>
              <w:rPr>
                <w:sz w:val="20"/>
                <w:szCs w:val="20"/>
                <w:color w:val="auto"/>
              </w:rPr>
            </w:pPr>
            <w:r>
              <w:rPr>
                <w:rFonts w:ascii="Times New Roman" w:cs="Times New Roman" w:eastAsia="Times New Roman" w:hAnsi="Times New Roman"/>
                <w:sz w:val="20"/>
                <w:szCs w:val="20"/>
                <w:b w:val="1"/>
                <w:bCs w:val="1"/>
                <w:color w:val="auto"/>
              </w:rPr>
              <w:t>2026</w:t>
            </w:r>
          </w:p>
        </w:tc>
        <w:tc>
          <w:tcPr>
            <w:tcW w:w="6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281"/>
              <w:spacing w:after="0"/>
              <w:rPr>
                <w:sz w:val="20"/>
                <w:szCs w:val="20"/>
                <w:color w:val="auto"/>
              </w:rPr>
            </w:pPr>
            <w:r>
              <w:rPr>
                <w:rFonts w:ascii="Times New Roman" w:cs="Times New Roman" w:eastAsia="Times New Roman" w:hAnsi="Times New Roman"/>
                <w:sz w:val="20"/>
                <w:szCs w:val="20"/>
                <w:color w:val="auto"/>
              </w:rPr>
              <w:t>2025</w:t>
            </w:r>
          </w:p>
        </w:tc>
        <w:tc>
          <w:tcPr>
            <w:tcW w:w="0" w:type="dxa"/>
            <w:vAlign w:val="bottom"/>
          </w:tcPr>
          <w:p>
            <w:pPr>
              <w:spacing w:after="0"/>
              <w:rPr>
                <w:sz w:val="1"/>
                <w:szCs w:val="1"/>
                <w:color w:val="auto"/>
              </w:rPr>
            </w:pPr>
          </w:p>
        </w:tc>
      </w:tr>
      <w:tr>
        <w:trPr>
          <w:trHeight w:val="270"/>
        </w:trPr>
        <w:tc>
          <w:tcPr>
            <w:tcW w:w="4260" w:type="dxa"/>
            <w:vAlign w:val="bottom"/>
          </w:tcPr>
          <w:p>
            <w:pPr>
              <w:spacing w:after="0"/>
              <w:rPr>
                <w:sz w:val="20"/>
                <w:szCs w:val="20"/>
                <w:color w:val="auto"/>
              </w:rPr>
            </w:pPr>
            <w:r>
              <w:rPr>
                <w:rFonts w:ascii="Times New Roman" w:cs="Times New Roman" w:eastAsia="Times New Roman" w:hAnsi="Times New Roman"/>
                <w:sz w:val="20"/>
                <w:szCs w:val="20"/>
                <w:color w:val="auto"/>
              </w:rPr>
              <w:t>Net income as reported</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71,648</w:t>
            </w:r>
          </w:p>
        </w:tc>
        <w:tc>
          <w:tcPr>
            <w:tcW w:w="40" w:type="dxa"/>
            <w:vAlign w:val="bottom"/>
          </w:tcPr>
          <w:p>
            <w:pPr>
              <w:spacing w:after="0"/>
              <w:rPr>
                <w:sz w:val="23"/>
                <w:szCs w:val="23"/>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64,237</w:t>
            </w:r>
          </w:p>
        </w:tc>
        <w:tc>
          <w:tcPr>
            <w:tcW w:w="60" w:type="dxa"/>
            <w:vAlign w:val="bottom"/>
          </w:tcPr>
          <w:p>
            <w:pPr>
              <w:spacing w:after="0"/>
              <w:rPr>
                <w:sz w:val="23"/>
                <w:szCs w:val="23"/>
                <w:color w:val="auto"/>
              </w:rPr>
            </w:pPr>
          </w:p>
        </w:tc>
        <w:tc>
          <w:tcPr>
            <w:tcW w:w="28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205,653</w:t>
            </w:r>
          </w:p>
        </w:tc>
        <w:tc>
          <w:tcPr>
            <w:tcW w:w="60" w:type="dxa"/>
            <w:vAlign w:val="bottom"/>
          </w:tcPr>
          <w:p>
            <w:pPr>
              <w:spacing w:after="0"/>
              <w:rPr>
                <w:sz w:val="23"/>
                <w:szCs w:val="23"/>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188,487</w:t>
            </w:r>
          </w:p>
        </w:tc>
        <w:tc>
          <w:tcPr>
            <w:tcW w:w="0" w:type="dxa"/>
            <w:vAlign w:val="bottom"/>
          </w:tcPr>
          <w:p>
            <w:pPr>
              <w:spacing w:after="0"/>
              <w:rPr>
                <w:sz w:val="1"/>
                <w:szCs w:val="1"/>
                <w:color w:val="auto"/>
              </w:rPr>
            </w:pPr>
          </w:p>
        </w:tc>
      </w:tr>
      <w:tr>
        <w:trPr>
          <w:trHeight w:val="270"/>
        </w:trPr>
        <w:tc>
          <w:tcPr>
            <w:tcW w:w="4260" w:type="dxa"/>
            <w:vAlign w:val="bottom"/>
          </w:tcPr>
          <w:p>
            <w:pPr>
              <w:spacing w:after="0"/>
              <w:rPr>
                <w:sz w:val="20"/>
                <w:szCs w:val="20"/>
                <w:color w:val="auto"/>
              </w:rPr>
            </w:pPr>
            <w:r>
              <w:rPr>
                <w:rFonts w:ascii="Times New Roman" w:cs="Times New Roman" w:eastAsia="Times New Roman" w:hAnsi="Times New Roman"/>
                <w:sz w:val="20"/>
                <w:szCs w:val="20"/>
                <w:color w:val="auto"/>
              </w:rPr>
              <w:t>Add/(deduct) pre-tax cost of:</w:t>
            </w: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5,984</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6,067</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24,285</w:t>
            </w: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24,374</w:t>
            </w:r>
          </w:p>
        </w:tc>
        <w:tc>
          <w:tcPr>
            <w:tcW w:w="0" w:type="dxa"/>
            <w:vAlign w:val="bottom"/>
          </w:tcPr>
          <w:p>
            <w:pPr>
              <w:spacing w:after="0"/>
              <w:rPr>
                <w:sz w:val="1"/>
                <w:szCs w:val="1"/>
                <w:color w:val="auto"/>
              </w:rPr>
            </w:pPr>
          </w:p>
        </w:tc>
      </w:tr>
      <w:tr>
        <w:trPr>
          <w:trHeight w:val="264"/>
        </w:trPr>
        <w:tc>
          <w:tcPr>
            <w:tcW w:w="426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Stock option expense</w:t>
            </w: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vMerge w:val="continue"/>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26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Legal settlements</w:t>
            </w: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7,013</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2,850</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7,561</w:t>
            </w: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2,850</w:t>
            </w:r>
          </w:p>
        </w:tc>
        <w:tc>
          <w:tcPr>
            <w:tcW w:w="0" w:type="dxa"/>
            <w:vAlign w:val="bottom"/>
          </w:tcPr>
          <w:p>
            <w:pPr>
              <w:spacing w:after="0"/>
              <w:rPr>
                <w:sz w:val="1"/>
                <w:szCs w:val="1"/>
                <w:color w:val="auto"/>
              </w:rPr>
            </w:pPr>
          </w:p>
        </w:tc>
      </w:tr>
      <w:tr>
        <w:trPr>
          <w:trHeight w:val="257"/>
        </w:trPr>
        <w:tc>
          <w:tcPr>
            <w:tcW w:w="426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Amortization of reacquired franchise rights</w:t>
            </w: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2,352</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2,352</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7,056</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7,056</w:t>
            </w:r>
          </w:p>
        </w:tc>
        <w:tc>
          <w:tcPr>
            <w:tcW w:w="0" w:type="dxa"/>
            <w:vAlign w:val="bottom"/>
          </w:tcPr>
          <w:p>
            <w:pPr>
              <w:spacing w:after="0"/>
              <w:rPr>
                <w:sz w:val="1"/>
                <w:szCs w:val="1"/>
                <w:color w:val="auto"/>
              </w:rPr>
            </w:pPr>
          </w:p>
        </w:tc>
      </w:tr>
      <w:tr>
        <w:trPr>
          <w:trHeight w:val="270"/>
        </w:trPr>
        <w:tc>
          <w:tcPr>
            <w:tcW w:w="426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Long-term incentive compensation</w:t>
            </w: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3,151</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(216)</w:t>
            </w: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6,904</w:t>
            </w: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3,294</w:t>
            </w:r>
          </w:p>
        </w:tc>
        <w:tc>
          <w:tcPr>
            <w:tcW w:w="0" w:type="dxa"/>
            <w:vAlign w:val="bottom"/>
          </w:tcPr>
          <w:p>
            <w:pPr>
              <w:spacing w:after="0"/>
              <w:rPr>
                <w:sz w:val="1"/>
                <w:szCs w:val="1"/>
                <w:color w:val="auto"/>
              </w:rPr>
            </w:pPr>
          </w:p>
        </w:tc>
      </w:tr>
      <w:tr>
        <w:trPr>
          <w:trHeight w:val="274"/>
        </w:trPr>
        <w:tc>
          <w:tcPr>
            <w:tcW w:w="426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Acquisition expense</w:t>
            </w: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1,726</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1,961</w:t>
            </w: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72"/>
        </w:trPr>
        <w:tc>
          <w:tcPr>
            <w:tcW w:w="426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Other</w:t>
            </w: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2,665</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rPr>
              <w:t>-</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2,665</w:t>
            </w:r>
          </w:p>
        </w:tc>
        <w:tc>
          <w:tcPr>
            <w:tcW w:w="0" w:type="dxa"/>
            <w:vAlign w:val="bottom"/>
          </w:tcPr>
          <w:p>
            <w:pPr>
              <w:spacing w:after="0"/>
              <w:rPr>
                <w:sz w:val="1"/>
                <w:szCs w:val="1"/>
                <w:color w:val="auto"/>
              </w:rPr>
            </w:pPr>
          </w:p>
        </w:tc>
      </w:tr>
      <w:tr>
        <w:trPr>
          <w:trHeight w:val="270"/>
        </w:trPr>
        <w:tc>
          <w:tcPr>
            <w:tcW w:w="4260" w:type="dxa"/>
            <w:vAlign w:val="bottom"/>
          </w:tcPr>
          <w:p>
            <w:pPr>
              <w:spacing w:after="0"/>
              <w:rPr>
                <w:sz w:val="20"/>
                <w:szCs w:val="20"/>
                <w:color w:val="auto"/>
              </w:rPr>
            </w:pPr>
            <w:r>
              <w:rPr>
                <w:rFonts w:ascii="Times New Roman" w:cs="Times New Roman" w:eastAsia="Times New Roman" w:hAnsi="Times New Roman"/>
                <w:sz w:val="20"/>
                <w:szCs w:val="20"/>
                <w:color w:val="auto"/>
              </w:rPr>
              <w:t>Add/(deduct) tax impacts:</w:t>
            </w: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(3,670)</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20"/>
                <w:szCs w:val="20"/>
                <w:color w:val="auto"/>
              </w:rPr>
              <w:t>(2,049)</w:t>
            </w: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rPr>
              <w:t>(8,296)</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(6,512)</w:t>
            </w:r>
          </w:p>
        </w:tc>
        <w:tc>
          <w:tcPr>
            <w:tcW w:w="0" w:type="dxa"/>
            <w:vAlign w:val="bottom"/>
          </w:tcPr>
          <w:p>
            <w:pPr>
              <w:spacing w:after="0"/>
              <w:rPr>
                <w:sz w:val="1"/>
                <w:szCs w:val="1"/>
                <w:color w:val="auto"/>
              </w:rPr>
            </w:pPr>
          </w:p>
        </w:tc>
      </w:tr>
      <w:tr>
        <w:trPr>
          <w:trHeight w:val="270"/>
        </w:trPr>
        <w:tc>
          <w:tcPr>
            <w:tcW w:w="426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Tax impact of the above pre-tax adjustments (1)</w:t>
            </w: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gridSpan w:val="2"/>
            <w:vMerge w:val="continue"/>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gridSpan w:val="2"/>
            <w:vMerge w:val="continue"/>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gridSpan w:val="2"/>
            <w:vMerge w:val="continue"/>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26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Excess tax expenses/(benefits) on stock</w:t>
            </w: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521</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1,022</w:t>
            </w: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(513)</w:t>
            </w:r>
          </w:p>
        </w:tc>
        <w:tc>
          <w:tcPr>
            <w:tcW w:w="0" w:type="dxa"/>
            <w:vAlign w:val="bottom"/>
          </w:tcPr>
          <w:p>
            <w:pPr>
              <w:spacing w:after="0"/>
              <w:rPr>
                <w:sz w:val="1"/>
                <w:szCs w:val="1"/>
                <w:color w:val="auto"/>
              </w:rPr>
            </w:pPr>
          </w:p>
        </w:tc>
      </w:tr>
      <w:tr>
        <w:trPr>
          <w:trHeight w:val="251"/>
        </w:trPr>
        <w:tc>
          <w:tcPr>
            <w:tcW w:w="426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compensation</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vMerge w:val="continue"/>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260" w:type="dxa"/>
            <w:vAlign w:val="bottom"/>
          </w:tcPr>
          <w:p>
            <w:pPr>
              <w:spacing w:after="0"/>
              <w:rPr>
                <w:sz w:val="20"/>
                <w:szCs w:val="20"/>
                <w:color w:val="auto"/>
              </w:rPr>
            </w:pPr>
            <w:r>
              <w:rPr>
                <w:rFonts w:ascii="Times New Roman" w:cs="Times New Roman" w:eastAsia="Times New Roman" w:hAnsi="Times New Roman"/>
                <w:sz w:val="20"/>
                <w:szCs w:val="20"/>
                <w:color w:val="auto"/>
              </w:rPr>
              <w:t>Adjusted net income</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88,725</w:t>
            </w:r>
          </w:p>
        </w:tc>
        <w:tc>
          <w:tcPr>
            <w:tcW w:w="40" w:type="dxa"/>
            <w:vAlign w:val="bottom"/>
          </w:tcPr>
          <w:p>
            <w:pPr>
              <w:spacing w:after="0"/>
              <w:rPr>
                <w:sz w:val="20"/>
                <w:szCs w:val="20"/>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75,906</w:t>
            </w:r>
          </w:p>
        </w:tc>
        <w:tc>
          <w:tcPr>
            <w:tcW w:w="60" w:type="dxa"/>
            <w:vAlign w:val="bottom"/>
          </w:tcPr>
          <w:p>
            <w:pPr>
              <w:spacing w:after="0"/>
              <w:rPr>
                <w:sz w:val="20"/>
                <w:szCs w:val="20"/>
                <w:color w:val="auto"/>
              </w:rPr>
            </w:pPr>
          </w:p>
        </w:tc>
        <w:tc>
          <w:tcPr>
            <w:tcW w:w="28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246,146</w:t>
            </w:r>
          </w:p>
        </w:tc>
        <w:tc>
          <w:tcPr>
            <w:tcW w:w="60" w:type="dxa"/>
            <w:vAlign w:val="bottom"/>
          </w:tcPr>
          <w:p>
            <w:pPr>
              <w:spacing w:after="0"/>
              <w:rPr>
                <w:sz w:val="20"/>
                <w:szCs w:val="20"/>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221,701</w:t>
            </w:r>
          </w:p>
        </w:tc>
        <w:tc>
          <w:tcPr>
            <w:tcW w:w="0" w:type="dxa"/>
            <w:vAlign w:val="bottom"/>
          </w:tcPr>
          <w:p>
            <w:pPr>
              <w:spacing w:after="0"/>
              <w:rPr>
                <w:sz w:val="1"/>
                <w:szCs w:val="1"/>
                <w:color w:val="auto"/>
              </w:rPr>
            </w:pPr>
          </w:p>
        </w:tc>
      </w:tr>
      <w:tr>
        <w:trPr>
          <w:trHeight w:val="27"/>
        </w:trPr>
        <w:tc>
          <w:tcPr>
            <w:tcW w:w="42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Diluted Earnings Per Share As Reported</w:t>
            </w:r>
          </w:p>
        </w:tc>
        <w:tc>
          <w:tcPr>
            <w:tcW w:w="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546"/>
        </w:trPr>
        <w:tc>
          <w:tcPr>
            <w:tcW w:w="4260" w:type="dxa"/>
            <w:vAlign w:val="bottom"/>
            <w:vMerge w:val="continue"/>
          </w:tcPr>
          <w:p>
            <w:pPr>
              <w:spacing w:after="0"/>
              <w:rPr>
                <w:sz w:val="24"/>
                <w:szCs w:val="24"/>
                <w:color w:val="auto"/>
              </w:rPr>
            </w:pPr>
          </w:p>
        </w:tc>
        <w:tc>
          <w:tcPr>
            <w:tcW w:w="3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5.45</w:t>
            </w:r>
          </w:p>
        </w:tc>
        <w:tc>
          <w:tcPr>
            <w:tcW w:w="40" w:type="dxa"/>
            <w:vAlign w:val="bottom"/>
          </w:tcPr>
          <w:p>
            <w:pPr>
              <w:spacing w:after="0"/>
              <w:rPr>
                <w:sz w:val="24"/>
                <w:szCs w:val="24"/>
                <w:color w:val="auto"/>
              </w:rPr>
            </w:pPr>
          </w:p>
        </w:tc>
        <w:tc>
          <w:tcPr>
            <w:tcW w:w="3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4.46</w:t>
            </w:r>
          </w:p>
        </w:tc>
        <w:tc>
          <w:tcPr>
            <w:tcW w:w="60" w:type="dxa"/>
            <w:vAlign w:val="bottom"/>
          </w:tcPr>
          <w:p>
            <w:pPr>
              <w:spacing w:after="0"/>
              <w:rPr>
                <w:sz w:val="24"/>
                <w:szCs w:val="24"/>
                <w:color w:val="auto"/>
              </w:rPr>
            </w:pPr>
          </w:p>
        </w:tc>
        <w:tc>
          <w:tcPr>
            <w:tcW w:w="2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15.43</w:t>
            </w:r>
          </w:p>
        </w:tc>
        <w:tc>
          <w:tcPr>
            <w:tcW w:w="60" w:type="dxa"/>
            <w:vAlign w:val="bottom"/>
          </w:tcPr>
          <w:p>
            <w:pPr>
              <w:spacing w:after="0"/>
              <w:rPr>
                <w:sz w:val="24"/>
                <w:szCs w:val="24"/>
                <w:color w:val="auto"/>
              </w:rPr>
            </w:pPr>
          </w:p>
        </w:tc>
        <w:tc>
          <w:tcPr>
            <w:tcW w:w="3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12.89</w:t>
            </w:r>
          </w:p>
        </w:tc>
        <w:tc>
          <w:tcPr>
            <w:tcW w:w="0" w:type="dxa"/>
            <w:vAlign w:val="bottom"/>
          </w:tcPr>
          <w:p>
            <w:pPr>
              <w:spacing w:after="0"/>
              <w:rPr>
                <w:sz w:val="1"/>
                <w:szCs w:val="1"/>
                <w:color w:val="auto"/>
              </w:rPr>
            </w:pPr>
          </w:p>
        </w:tc>
      </w:tr>
      <w:tr>
        <w:trPr>
          <w:trHeight w:val="244"/>
        </w:trPr>
        <w:tc>
          <w:tcPr>
            <w:tcW w:w="426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Net income</w:t>
            </w:r>
          </w:p>
        </w:tc>
        <w:tc>
          <w:tcPr>
            <w:tcW w:w="380" w:type="dxa"/>
            <w:vAlign w:val="bottom"/>
            <w:gridSpan w:val="2"/>
            <w:vMerge w:val="continue"/>
          </w:tcPr>
          <w:p>
            <w:pPr>
              <w:spacing w:after="0"/>
              <w:rPr>
                <w:sz w:val="21"/>
                <w:szCs w:val="21"/>
                <w:color w:val="auto"/>
              </w:rPr>
            </w:pPr>
          </w:p>
        </w:tc>
        <w:tc>
          <w:tcPr>
            <w:tcW w:w="940" w:type="dxa"/>
            <w:vAlign w:val="bottom"/>
            <w:vMerge w:val="continue"/>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gridSpan w:val="2"/>
            <w:vMerge w:val="continue"/>
          </w:tcPr>
          <w:p>
            <w:pPr>
              <w:spacing w:after="0"/>
              <w:rPr>
                <w:sz w:val="21"/>
                <w:szCs w:val="21"/>
                <w:color w:val="auto"/>
              </w:rPr>
            </w:pPr>
          </w:p>
        </w:tc>
        <w:tc>
          <w:tcPr>
            <w:tcW w:w="92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gridSpan w:val="2"/>
            <w:vMerge w:val="continue"/>
          </w:tcPr>
          <w:p>
            <w:pPr>
              <w:spacing w:after="0"/>
              <w:rPr>
                <w:sz w:val="21"/>
                <w:szCs w:val="21"/>
                <w:color w:val="auto"/>
              </w:rPr>
            </w:pPr>
          </w:p>
        </w:tc>
        <w:tc>
          <w:tcPr>
            <w:tcW w:w="92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gridSpan w:val="2"/>
            <w:vMerge w:val="continue"/>
          </w:tcPr>
          <w:p>
            <w:pPr>
              <w:spacing w:after="0"/>
              <w:rPr>
                <w:sz w:val="21"/>
                <w:szCs w:val="21"/>
                <w:color w:val="auto"/>
              </w:rPr>
            </w:pPr>
          </w:p>
        </w:tc>
        <w:tc>
          <w:tcPr>
            <w:tcW w:w="9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26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Average number of shares outstanding</w:t>
            </w:r>
          </w:p>
        </w:tc>
        <w:tc>
          <w:tcPr>
            <w:tcW w:w="160" w:type="dxa"/>
            <w:vAlign w:val="bottom"/>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13,135</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14,409</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13,329</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14,620</w:t>
            </w:r>
          </w:p>
        </w:tc>
        <w:tc>
          <w:tcPr>
            <w:tcW w:w="0" w:type="dxa"/>
            <w:vAlign w:val="bottom"/>
          </w:tcPr>
          <w:p>
            <w:pPr>
              <w:spacing w:after="0"/>
              <w:rPr>
                <w:sz w:val="1"/>
                <w:szCs w:val="1"/>
                <w:color w:val="auto"/>
              </w:rPr>
            </w:pPr>
          </w:p>
        </w:tc>
      </w:tr>
      <w:tr>
        <w:trPr>
          <w:trHeight w:val="546"/>
        </w:trPr>
        <w:tc>
          <w:tcPr>
            <w:tcW w:w="4260" w:type="dxa"/>
            <w:vAlign w:val="bottom"/>
          </w:tcPr>
          <w:p>
            <w:pPr>
              <w:spacing w:after="0"/>
              <w:rPr>
                <w:sz w:val="20"/>
                <w:szCs w:val="20"/>
                <w:color w:val="auto"/>
              </w:rPr>
            </w:pPr>
            <w:r>
              <w:rPr>
                <w:rFonts w:ascii="Times New Roman" w:cs="Times New Roman" w:eastAsia="Times New Roman" w:hAnsi="Times New Roman"/>
                <w:sz w:val="20"/>
                <w:szCs w:val="20"/>
                <w:color w:val="auto"/>
              </w:rPr>
              <w:t>Adjusted Diluted Earnings Per Share</w:t>
            </w:r>
          </w:p>
        </w:tc>
        <w:tc>
          <w:tcPr>
            <w:tcW w:w="3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6.75</w:t>
            </w:r>
          </w:p>
        </w:tc>
        <w:tc>
          <w:tcPr>
            <w:tcW w:w="40" w:type="dxa"/>
            <w:vAlign w:val="bottom"/>
          </w:tcPr>
          <w:p>
            <w:pPr>
              <w:spacing w:after="0"/>
              <w:rPr>
                <w:sz w:val="24"/>
                <w:szCs w:val="24"/>
                <w:color w:val="auto"/>
              </w:rPr>
            </w:pPr>
          </w:p>
        </w:tc>
        <w:tc>
          <w:tcPr>
            <w:tcW w:w="3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5.27</w:t>
            </w:r>
          </w:p>
        </w:tc>
        <w:tc>
          <w:tcPr>
            <w:tcW w:w="60" w:type="dxa"/>
            <w:vAlign w:val="bottom"/>
          </w:tcPr>
          <w:p>
            <w:pPr>
              <w:spacing w:after="0"/>
              <w:rPr>
                <w:sz w:val="24"/>
                <w:szCs w:val="24"/>
                <w:color w:val="auto"/>
              </w:rPr>
            </w:pPr>
          </w:p>
        </w:tc>
        <w:tc>
          <w:tcPr>
            <w:tcW w:w="2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18.47</w:t>
            </w:r>
          </w:p>
        </w:tc>
        <w:tc>
          <w:tcPr>
            <w:tcW w:w="60" w:type="dxa"/>
            <w:vAlign w:val="bottom"/>
          </w:tcPr>
          <w:p>
            <w:pPr>
              <w:spacing w:after="0"/>
              <w:rPr>
                <w:sz w:val="24"/>
                <w:szCs w:val="24"/>
                <w:color w:val="auto"/>
              </w:rPr>
            </w:pPr>
          </w:p>
        </w:tc>
        <w:tc>
          <w:tcPr>
            <w:tcW w:w="3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15.16</w:t>
            </w:r>
          </w:p>
        </w:tc>
        <w:tc>
          <w:tcPr>
            <w:tcW w:w="0" w:type="dxa"/>
            <w:vAlign w:val="bottom"/>
          </w:tcPr>
          <w:p>
            <w:pPr>
              <w:spacing w:after="0"/>
              <w:rPr>
                <w:sz w:val="1"/>
                <w:szCs w:val="1"/>
                <w:color w:val="auto"/>
              </w:rPr>
            </w:pPr>
          </w:p>
        </w:tc>
      </w:tr>
      <w:tr>
        <w:trPr>
          <w:trHeight w:val="244"/>
        </w:trPr>
        <w:tc>
          <w:tcPr>
            <w:tcW w:w="426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Adjusted net income</w:t>
            </w:r>
          </w:p>
        </w:tc>
        <w:tc>
          <w:tcPr>
            <w:tcW w:w="380" w:type="dxa"/>
            <w:vAlign w:val="bottom"/>
            <w:gridSpan w:val="2"/>
            <w:vMerge w:val="continue"/>
          </w:tcPr>
          <w:p>
            <w:pPr>
              <w:spacing w:after="0"/>
              <w:rPr>
                <w:sz w:val="21"/>
                <w:szCs w:val="21"/>
                <w:color w:val="auto"/>
              </w:rPr>
            </w:pPr>
          </w:p>
        </w:tc>
        <w:tc>
          <w:tcPr>
            <w:tcW w:w="940" w:type="dxa"/>
            <w:vAlign w:val="bottom"/>
            <w:vMerge w:val="continue"/>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gridSpan w:val="2"/>
            <w:vMerge w:val="continue"/>
          </w:tcPr>
          <w:p>
            <w:pPr>
              <w:spacing w:after="0"/>
              <w:rPr>
                <w:sz w:val="21"/>
                <w:szCs w:val="21"/>
                <w:color w:val="auto"/>
              </w:rPr>
            </w:pPr>
          </w:p>
        </w:tc>
        <w:tc>
          <w:tcPr>
            <w:tcW w:w="92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gridSpan w:val="2"/>
            <w:vMerge w:val="continue"/>
          </w:tcPr>
          <w:p>
            <w:pPr>
              <w:spacing w:after="0"/>
              <w:rPr>
                <w:sz w:val="21"/>
                <w:szCs w:val="21"/>
                <w:color w:val="auto"/>
              </w:rPr>
            </w:pPr>
          </w:p>
        </w:tc>
        <w:tc>
          <w:tcPr>
            <w:tcW w:w="92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gridSpan w:val="2"/>
            <w:vMerge w:val="continue"/>
          </w:tcPr>
          <w:p>
            <w:pPr>
              <w:spacing w:after="0"/>
              <w:rPr>
                <w:sz w:val="21"/>
                <w:szCs w:val="21"/>
                <w:color w:val="auto"/>
              </w:rPr>
            </w:pPr>
          </w:p>
        </w:tc>
        <w:tc>
          <w:tcPr>
            <w:tcW w:w="9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26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Average number of shares outstanding</w:t>
            </w:r>
          </w:p>
        </w:tc>
        <w:tc>
          <w:tcPr>
            <w:tcW w:w="160" w:type="dxa"/>
            <w:vAlign w:val="bottom"/>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13,135</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14,409</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13,329</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14,620</w:t>
            </w:r>
          </w:p>
        </w:tc>
        <w:tc>
          <w:tcPr>
            <w:tcW w:w="0" w:type="dxa"/>
            <w:vAlign w:val="bottom"/>
          </w:tcPr>
          <w:p>
            <w:pPr>
              <w:spacing w:after="0"/>
              <w:rPr>
                <w:sz w:val="1"/>
                <w:szCs w:val="1"/>
                <w:color w:val="auto"/>
              </w:rPr>
            </w:pPr>
          </w:p>
        </w:tc>
      </w:tr>
    </w:tbl>
    <w:p>
      <w:pPr>
        <w:spacing w:after="0" w:line="369" w:lineRule="exact"/>
        <w:rPr>
          <w:sz w:val="20"/>
          <w:szCs w:val="20"/>
          <w:color w:val="auto"/>
        </w:rPr>
      </w:pPr>
    </w:p>
    <w:p>
      <w:pPr>
        <w:ind w:left="4" w:right="379" w:hanging="4"/>
        <w:spacing w:after="0"/>
        <w:tabs>
          <w:tab w:leader="none" w:pos="284"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tax impact of pre-tax adjustments was calculated using the effective tax rate of the operating unit for which each adjustment is associated.</w:t>
      </w:r>
    </w:p>
    <w:p>
      <w:pPr>
        <w:spacing w:after="0" w:line="200" w:lineRule="exact"/>
        <w:rPr>
          <w:sz w:val="20"/>
          <w:szCs w:val="20"/>
          <w:color w:val="auto"/>
        </w:rPr>
      </w:pPr>
    </w:p>
    <w:p>
      <w:pPr>
        <w:spacing w:after="0" w:line="258"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The "Footnotes to Financial Statements" are integral parts of this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241300</wp:posOffset>
            </wp:positionV>
            <wp:extent cx="6000115" cy="508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000115" cy="50800"/>
                    </a:xfrm>
                    <a:prstGeom prst="rect">
                      <a:avLst/>
                    </a:prstGeom>
                    <a:noFill/>
                  </pic:spPr>
                </pic:pic>
              </a:graphicData>
            </a:graphic>
          </wp:anchor>
        </w:drawing>
      </w:r>
    </w:p>
    <w:p>
      <w:pPr>
        <w:sectPr>
          <w:pgSz w:w="11900" w:h="16838" w:orient="portrait"/>
          <w:cols w:equalWidth="0" w:num="1">
            <w:col w:w="9483"/>
          </w:cols>
          <w:pgMar w:left="976" w:top="167" w:right="1440" w:bottom="1440" w:gutter="0" w:footer="0" w:header="0"/>
        </w:sectPr>
      </w:pPr>
    </w:p>
    <w:bookmarkStart w:id="16" w:name="page17"/>
    <w:bookmarkEnd w:id="16"/>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CHEMED CORPORATION AND SUBSIDIARY COMPANIES</w:t>
      </w:r>
    </w:p>
    <w:p>
      <w:pPr>
        <w:jc w:val="center"/>
        <w:ind w:right="119"/>
        <w:spacing w:after="0" w:line="229" w:lineRule="auto"/>
        <w:rPr>
          <w:sz w:val="20"/>
          <w:szCs w:val="20"/>
          <w:color w:val="auto"/>
        </w:rPr>
      </w:pPr>
      <w:r>
        <w:rPr>
          <w:rFonts w:ascii="Times New Roman" w:cs="Times New Roman" w:eastAsia="Times New Roman" w:hAnsi="Times New Roman"/>
          <w:sz w:val="14"/>
          <w:szCs w:val="14"/>
          <w:b w:val="1"/>
          <w:bCs w:val="1"/>
          <w:color w:val="auto"/>
        </w:rPr>
        <w:t>OPERATING STATISTICS FOR VITAS SEGMENT</w:t>
      </w:r>
    </w:p>
    <w:p>
      <w:pPr>
        <w:jc w:val="center"/>
        <w:ind w:right="119"/>
        <w:spacing w:after="0"/>
        <w:rPr>
          <w:sz w:val="20"/>
          <w:szCs w:val="20"/>
          <w:color w:val="auto"/>
        </w:rPr>
      </w:pPr>
      <w:r>
        <w:rPr>
          <w:rFonts w:ascii="Times New Roman" w:cs="Times New Roman" w:eastAsia="Times New Roman" w:hAnsi="Times New Roman"/>
          <w:sz w:val="14"/>
          <w:szCs w:val="14"/>
          <w:color w:val="auto"/>
        </w:rPr>
        <w:t>(unaudited)</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40" w:type="dxa"/>
            <w:vAlign w:val="bottom"/>
            <w:gridSpan w:val="5"/>
          </w:tcPr>
          <w:p>
            <w:pPr>
              <w:jc w:val="right"/>
              <w:ind w:right="640"/>
              <w:spacing w:after="0"/>
              <w:rPr>
                <w:sz w:val="20"/>
                <w:szCs w:val="20"/>
                <w:color w:val="auto"/>
              </w:rPr>
            </w:pPr>
            <w:r>
              <w:rPr>
                <w:rFonts w:ascii="Times New Roman" w:cs="Times New Roman" w:eastAsia="Times New Roman" w:hAnsi="Times New Roman"/>
                <w:sz w:val="14"/>
                <w:szCs w:val="14"/>
                <w:color w:val="auto"/>
              </w:rPr>
              <w:t>Three Months Ended September 30,</w:t>
            </w:r>
          </w:p>
        </w:tc>
        <w:tc>
          <w:tcPr>
            <w:tcW w:w="100" w:type="dxa"/>
            <w:vAlign w:val="bottom"/>
          </w:tcPr>
          <w:p>
            <w:pPr>
              <w:spacing w:after="0"/>
              <w:rPr>
                <w:sz w:val="16"/>
                <w:szCs w:val="16"/>
                <w:color w:val="auto"/>
              </w:rPr>
            </w:pPr>
          </w:p>
        </w:tc>
        <w:tc>
          <w:tcPr>
            <w:tcW w:w="2720" w:type="dxa"/>
            <w:vAlign w:val="bottom"/>
            <w:gridSpan w:val="5"/>
          </w:tcPr>
          <w:p>
            <w:pPr>
              <w:jc w:val="right"/>
              <w:ind w:right="240"/>
              <w:spacing w:after="0"/>
              <w:rPr>
                <w:sz w:val="20"/>
                <w:szCs w:val="20"/>
                <w:color w:val="auto"/>
              </w:rPr>
            </w:pPr>
            <w:r>
              <w:rPr>
                <w:rFonts w:ascii="Times New Roman" w:cs="Times New Roman" w:eastAsia="Times New Roman" w:hAnsi="Times New Roman"/>
                <w:sz w:val="14"/>
                <w:szCs w:val="14"/>
                <w:color w:val="auto"/>
              </w:rPr>
              <w:t>For the Nine Months Ended September 30,</w:t>
            </w:r>
          </w:p>
        </w:tc>
        <w:tc>
          <w:tcPr>
            <w:tcW w:w="0" w:type="dxa"/>
            <w:vAlign w:val="bottom"/>
          </w:tcPr>
          <w:p>
            <w:pPr>
              <w:spacing w:after="0"/>
              <w:rPr>
                <w:sz w:val="1"/>
                <w:szCs w:val="1"/>
                <w:color w:val="auto"/>
              </w:rPr>
            </w:pPr>
          </w:p>
        </w:tc>
      </w:tr>
      <w:tr>
        <w:trPr>
          <w:trHeight w:val="209"/>
        </w:trPr>
        <w:tc>
          <w:tcPr>
            <w:tcW w:w="3320" w:type="dxa"/>
            <w:vAlign w:val="bottom"/>
          </w:tcPr>
          <w:p>
            <w:pPr>
              <w:spacing w:after="0"/>
              <w:rPr>
                <w:sz w:val="20"/>
                <w:szCs w:val="20"/>
                <w:color w:val="auto"/>
              </w:rPr>
            </w:pPr>
            <w:r>
              <w:rPr>
                <w:rFonts w:ascii="Times New Roman" w:cs="Times New Roman" w:eastAsia="Times New Roman" w:hAnsi="Times New Roman"/>
                <w:sz w:val="14"/>
                <w:szCs w:val="14"/>
                <w:color w:val="auto"/>
              </w:rPr>
              <w:t>OPERATING STATISTICS</w:t>
            </w:r>
          </w:p>
        </w:tc>
        <w:tc>
          <w:tcPr>
            <w:tcW w:w="14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color w:val="auto"/>
              </w:rPr>
              <w:t>2025</w:t>
            </w:r>
          </w:p>
        </w:tc>
        <w:tc>
          <w:tcPr>
            <w:tcW w:w="3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color w:val="auto"/>
              </w:rPr>
              <w:t>2025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3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Net revenue ($000) (c)</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3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Homecare</w:t>
            </w:r>
          </w:p>
        </w:tc>
        <w:tc>
          <w:tcPr>
            <w:tcW w:w="34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405,969</w:t>
            </w:r>
          </w:p>
        </w:tc>
        <w:tc>
          <w:tcPr>
            <w:tcW w:w="160" w:type="dxa"/>
            <w:vAlign w:val="bottom"/>
          </w:tcPr>
          <w:p>
            <w:pPr>
              <w:spacing w:after="0"/>
              <w:rPr>
                <w:sz w:val="19"/>
                <w:szCs w:val="19"/>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362,405</w:t>
            </w:r>
          </w:p>
        </w:tc>
        <w:tc>
          <w:tcPr>
            <w:tcW w:w="3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1,168,407</w:t>
            </w:r>
          </w:p>
        </w:tc>
        <w:tc>
          <w:tcPr>
            <w:tcW w:w="160" w:type="dxa"/>
            <w:vAlign w:val="bottom"/>
          </w:tcPr>
          <w:p>
            <w:pPr>
              <w:spacing w:after="0"/>
              <w:rPr>
                <w:sz w:val="19"/>
                <w:szCs w:val="19"/>
                <w:color w:val="auto"/>
              </w:rPr>
            </w:pPr>
          </w:p>
        </w:tc>
        <w:tc>
          <w:tcPr>
            <w:tcW w:w="280" w:type="dxa"/>
            <w:vAlign w:val="bottom"/>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1,072,014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3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Inpatient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36,407</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33,099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108,006</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100,145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Continuous care</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21,159</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19,946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58,689</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68,222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3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Other</w:t>
            </w:r>
          </w:p>
        </w:tc>
        <w:tc>
          <w:tcPr>
            <w:tcW w:w="1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6,421</w:t>
            </w:r>
          </w:p>
        </w:tc>
        <w:tc>
          <w:tcPr>
            <w:tcW w:w="1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5,807</w:t>
            </w:r>
          </w:p>
        </w:tc>
        <w:tc>
          <w:tcPr>
            <w:tcW w:w="3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18,204</w:t>
            </w:r>
          </w:p>
        </w:tc>
        <w:tc>
          <w:tcPr>
            <w:tcW w:w="1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16,898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32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Subtotal</w:t>
            </w:r>
          </w:p>
        </w:tc>
        <w:tc>
          <w:tcPr>
            <w:tcW w:w="34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469,956</w:t>
            </w:r>
          </w:p>
        </w:tc>
        <w:tc>
          <w:tcPr>
            <w:tcW w:w="160" w:type="dxa"/>
            <w:vAlign w:val="bottom"/>
          </w:tcPr>
          <w:p>
            <w:pPr>
              <w:spacing w:after="0"/>
              <w:rPr>
                <w:sz w:val="18"/>
                <w:szCs w:val="18"/>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421,257</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1,353,306</w:t>
            </w:r>
          </w:p>
        </w:tc>
        <w:tc>
          <w:tcPr>
            <w:tcW w:w="160" w:type="dxa"/>
            <w:vAlign w:val="bottom"/>
          </w:tcPr>
          <w:p>
            <w:pPr>
              <w:spacing w:after="0"/>
              <w:rPr>
                <w:sz w:val="18"/>
                <w:szCs w:val="18"/>
                <w:color w:val="auto"/>
              </w:rPr>
            </w:pPr>
          </w:p>
        </w:tc>
        <w:tc>
          <w:tcPr>
            <w:tcW w:w="280" w:type="dxa"/>
            <w:vAlign w:val="bottom"/>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1,257,279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Room and board, net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(3,982)</w:t>
            </w:r>
          </w:p>
        </w:tc>
        <w:tc>
          <w:tcPr>
            <w:tcW w:w="30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(3,859)</w:t>
            </w:r>
          </w:p>
        </w:tc>
        <w:tc>
          <w:tcPr>
            <w:tcW w:w="1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(11,178)</w:t>
            </w:r>
          </w:p>
        </w:tc>
        <w:tc>
          <w:tcPr>
            <w:tcW w:w="2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(11,277)</w:t>
            </w:r>
          </w:p>
        </w:tc>
        <w:tc>
          <w:tcPr>
            <w:tcW w:w="0" w:type="dxa"/>
            <w:vAlign w:val="bottom"/>
          </w:tcPr>
          <w:p>
            <w:pPr>
              <w:spacing w:after="0"/>
              <w:rPr>
                <w:sz w:val="1"/>
                <w:szCs w:val="1"/>
                <w:color w:val="auto"/>
              </w:rPr>
            </w:pPr>
          </w:p>
        </w:tc>
      </w:tr>
      <w:tr>
        <w:trPr>
          <w:trHeight w:val="216"/>
        </w:trPr>
        <w:tc>
          <w:tcPr>
            <w:tcW w:w="33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Contractual allowances</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(7,743)</w:t>
            </w:r>
          </w:p>
        </w:tc>
        <w:tc>
          <w:tcPr>
            <w:tcW w:w="30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(3,571)</w:t>
            </w:r>
          </w:p>
        </w:tc>
        <w:tc>
          <w:tcPr>
            <w:tcW w:w="1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(17,663)</w:t>
            </w:r>
          </w:p>
        </w:tc>
        <w:tc>
          <w:tcPr>
            <w:tcW w:w="2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(9,875)</w:t>
            </w:r>
          </w:p>
        </w:tc>
        <w:tc>
          <w:tcPr>
            <w:tcW w:w="0" w:type="dxa"/>
            <w:vAlign w:val="bottom"/>
          </w:tcPr>
          <w:p>
            <w:pPr>
              <w:spacing w:after="0"/>
              <w:rPr>
                <w:sz w:val="1"/>
                <w:szCs w:val="1"/>
                <w:color w:val="auto"/>
              </w:rPr>
            </w:pPr>
          </w:p>
        </w:tc>
      </w:tr>
      <w:tr>
        <w:trPr>
          <w:trHeight w:val="199"/>
        </w:trPr>
        <w:tc>
          <w:tcPr>
            <w:tcW w:w="33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Medicare cap allowance</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(828)</w:t>
            </w:r>
          </w:p>
        </w:tc>
        <w:tc>
          <w:tcPr>
            <w:tcW w:w="300" w:type="dxa"/>
            <w:vAlign w:val="bottom"/>
          </w:tcPr>
          <w:p>
            <w:pPr>
              <w:spacing w:after="0"/>
              <w:rPr>
                <w:sz w:val="17"/>
                <w:szCs w:val="17"/>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(6,086)</w:t>
            </w:r>
          </w:p>
        </w:tc>
        <w:tc>
          <w:tcPr>
            <w:tcW w:w="100" w:type="dxa"/>
            <w:vAlign w:val="bottom"/>
          </w:tcPr>
          <w:p>
            <w:pPr>
              <w:spacing w:after="0"/>
              <w:rPr>
                <w:sz w:val="17"/>
                <w:szCs w:val="17"/>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(3,703)</w:t>
            </w:r>
          </w:p>
        </w:tc>
        <w:tc>
          <w:tcPr>
            <w:tcW w:w="280" w:type="dxa"/>
            <w:vAlign w:val="bottom"/>
          </w:tcPr>
          <w:p>
            <w:pPr>
              <w:spacing w:after="0"/>
              <w:rPr>
                <w:sz w:val="17"/>
                <w:szCs w:val="17"/>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(24,786)</w:t>
            </w:r>
          </w:p>
        </w:tc>
        <w:tc>
          <w:tcPr>
            <w:tcW w:w="0" w:type="dxa"/>
            <w:vAlign w:val="bottom"/>
          </w:tcPr>
          <w:p>
            <w:pPr>
              <w:spacing w:after="0"/>
              <w:rPr>
                <w:sz w:val="1"/>
                <w:szCs w:val="1"/>
                <w:color w:val="auto"/>
              </w:rPr>
            </w:pPr>
          </w:p>
        </w:tc>
      </w:tr>
      <w:tr>
        <w:trPr>
          <w:trHeight w:val="160"/>
        </w:trPr>
        <w:tc>
          <w:tcPr>
            <w:tcW w:w="3320" w:type="dxa"/>
            <w:vAlign w:val="bottom"/>
          </w:tcPr>
          <w:p>
            <w:pPr>
              <w:ind w:left="540"/>
              <w:spacing w:after="0" w:line="160" w:lineRule="exact"/>
              <w:rPr>
                <w:sz w:val="20"/>
                <w:szCs w:val="20"/>
                <w:color w:val="auto"/>
              </w:rPr>
            </w:pPr>
            <w:r>
              <w:rPr>
                <w:rFonts w:ascii="Times New Roman" w:cs="Times New Roman" w:eastAsia="Times New Roman" w:hAnsi="Times New Roman"/>
                <w:sz w:val="14"/>
                <w:szCs w:val="14"/>
                <w:color w:val="auto"/>
              </w:rPr>
              <w:t>Net Revenue</w:t>
            </w:r>
          </w:p>
        </w:tc>
        <w:tc>
          <w:tcPr>
            <w:tcW w:w="140" w:type="dxa"/>
            <w:vAlign w:val="bottom"/>
          </w:tcPr>
          <w:p>
            <w:pPr>
              <w:spacing w:after="0"/>
              <w:rPr>
                <w:sz w:val="13"/>
                <w:szCs w:val="13"/>
                <w:color w:val="auto"/>
              </w:rPr>
            </w:pPr>
          </w:p>
        </w:tc>
        <w:tc>
          <w:tcPr>
            <w:tcW w:w="200" w:type="dxa"/>
            <w:vAlign w:val="bottom"/>
            <w:tcBorders>
              <w:top w:val="single" w:sz="8" w:color="auto"/>
            </w:tcBorders>
          </w:tcPr>
          <w:p>
            <w:pPr>
              <w:jc w:val="right"/>
              <w:ind w:right="48"/>
              <w:spacing w:after="0" w:line="160"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top w:val="single" w:sz="8" w:color="auto"/>
            </w:tcBorders>
          </w:tcPr>
          <w:p>
            <w:pPr>
              <w:jc w:val="right"/>
              <w:spacing w:after="0" w:line="160" w:lineRule="exact"/>
              <w:rPr>
                <w:sz w:val="20"/>
                <w:szCs w:val="20"/>
                <w:color w:val="auto"/>
              </w:rPr>
            </w:pPr>
            <w:r>
              <w:rPr>
                <w:rFonts w:ascii="Times New Roman" w:cs="Times New Roman" w:eastAsia="Times New Roman" w:hAnsi="Times New Roman"/>
                <w:sz w:val="14"/>
                <w:szCs w:val="14"/>
                <w:b w:val="1"/>
                <w:bCs w:val="1"/>
                <w:color w:val="auto"/>
              </w:rPr>
              <w:t>457,403</w:t>
            </w:r>
          </w:p>
        </w:tc>
        <w:tc>
          <w:tcPr>
            <w:tcW w:w="160" w:type="dxa"/>
            <w:vAlign w:val="bottom"/>
          </w:tcPr>
          <w:p>
            <w:pPr>
              <w:spacing w:after="0"/>
              <w:rPr>
                <w:sz w:val="13"/>
                <w:szCs w:val="13"/>
                <w:color w:val="auto"/>
              </w:rPr>
            </w:pPr>
          </w:p>
        </w:tc>
        <w:tc>
          <w:tcPr>
            <w:tcW w:w="300" w:type="dxa"/>
            <w:vAlign w:val="bottom"/>
            <w:tcBorders>
              <w:top w:val="single" w:sz="8" w:color="auto"/>
            </w:tcBorders>
          </w:tcPr>
          <w:p>
            <w:pPr>
              <w:jc w:val="right"/>
              <w:ind w:right="148"/>
              <w:spacing w:after="0" w:line="160"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tcPr>
          <w:p>
            <w:pPr>
              <w:jc w:val="right"/>
              <w:spacing w:after="0" w:line="160" w:lineRule="exact"/>
              <w:rPr>
                <w:sz w:val="20"/>
                <w:szCs w:val="20"/>
                <w:color w:val="auto"/>
              </w:rPr>
            </w:pPr>
            <w:r>
              <w:rPr>
                <w:rFonts w:ascii="Times New Roman" w:cs="Times New Roman" w:eastAsia="Times New Roman" w:hAnsi="Times New Roman"/>
                <w:sz w:val="14"/>
                <w:szCs w:val="14"/>
                <w:color w:val="auto"/>
              </w:rPr>
              <w:t>407,741</w:t>
            </w:r>
          </w:p>
        </w:tc>
        <w:tc>
          <w:tcPr>
            <w:tcW w:w="320" w:type="dxa"/>
            <w:vAlign w:val="bottom"/>
          </w:tcPr>
          <w:p>
            <w:pPr>
              <w:spacing w:after="0"/>
              <w:rPr>
                <w:sz w:val="13"/>
                <w:szCs w:val="13"/>
                <w:color w:val="auto"/>
              </w:rPr>
            </w:pPr>
          </w:p>
        </w:tc>
        <w:tc>
          <w:tcPr>
            <w:tcW w:w="100" w:type="dxa"/>
            <w:vAlign w:val="bottom"/>
            <w:tcBorders>
              <w:top w:val="single" w:sz="8" w:color="auto"/>
            </w:tcBorders>
          </w:tcPr>
          <w:p>
            <w:pPr>
              <w:jc w:val="right"/>
              <w:spacing w:after="0" w:line="160"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180" w:type="dxa"/>
            <w:vAlign w:val="bottom"/>
            <w:tcBorders>
              <w:top w:val="single" w:sz="8" w:color="auto"/>
            </w:tcBorders>
          </w:tcPr>
          <w:p>
            <w:pPr>
              <w:jc w:val="right"/>
              <w:spacing w:after="0" w:line="160" w:lineRule="exact"/>
              <w:rPr>
                <w:sz w:val="20"/>
                <w:szCs w:val="20"/>
                <w:color w:val="auto"/>
              </w:rPr>
            </w:pPr>
            <w:r>
              <w:rPr>
                <w:rFonts w:ascii="Times New Roman" w:cs="Times New Roman" w:eastAsia="Times New Roman" w:hAnsi="Times New Roman"/>
                <w:sz w:val="14"/>
                <w:szCs w:val="14"/>
                <w:b w:val="1"/>
                <w:bCs w:val="1"/>
                <w:color w:val="auto"/>
              </w:rPr>
              <w:t>1,320,762</w:t>
            </w:r>
          </w:p>
        </w:tc>
        <w:tc>
          <w:tcPr>
            <w:tcW w:w="160" w:type="dxa"/>
            <w:vAlign w:val="bottom"/>
          </w:tcPr>
          <w:p>
            <w:pPr>
              <w:spacing w:after="0"/>
              <w:rPr>
                <w:sz w:val="13"/>
                <w:szCs w:val="13"/>
                <w:color w:val="auto"/>
              </w:rPr>
            </w:pPr>
          </w:p>
        </w:tc>
        <w:tc>
          <w:tcPr>
            <w:tcW w:w="280" w:type="dxa"/>
            <w:vAlign w:val="bottom"/>
            <w:tcBorders>
              <w:top w:val="single" w:sz="8" w:color="auto"/>
            </w:tcBorders>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tcBorders>
          </w:tcPr>
          <w:p>
            <w:pPr>
              <w:jc w:val="right"/>
              <w:spacing w:after="0" w:line="160" w:lineRule="exact"/>
              <w:rPr>
                <w:sz w:val="20"/>
                <w:szCs w:val="20"/>
                <w:color w:val="auto"/>
              </w:rPr>
            </w:pPr>
            <w:r>
              <w:rPr>
                <w:rFonts w:ascii="Times New Roman" w:cs="Times New Roman" w:eastAsia="Times New Roman" w:hAnsi="Times New Roman"/>
                <w:sz w:val="14"/>
                <w:szCs w:val="14"/>
                <w:color w:val="auto"/>
              </w:rPr>
              <w:t>1,211,341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3320" w:type="dxa"/>
            <w:vAlign w:val="bottom"/>
            <w:vMerge w:val="restart"/>
          </w:tcPr>
          <w:p>
            <w:pPr>
              <w:ind w:left="100"/>
              <w:spacing w:after="0" w:line="149" w:lineRule="exact"/>
              <w:rPr>
                <w:sz w:val="20"/>
                <w:szCs w:val="20"/>
                <w:color w:val="auto"/>
              </w:rPr>
            </w:pPr>
            <w:r>
              <w:rPr>
                <w:rFonts w:ascii="Times New Roman" w:cs="Times New Roman" w:eastAsia="Times New Roman" w:hAnsi="Times New Roman"/>
                <w:sz w:val="14"/>
                <w:szCs w:val="14"/>
                <w:color w:val="auto"/>
              </w:rPr>
              <w:t>Net revenue as a percent of total before Medicare cap</w:t>
            </w:r>
          </w:p>
        </w:tc>
        <w:tc>
          <w:tcPr>
            <w:tcW w:w="1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9"/>
        </w:trPr>
        <w:tc>
          <w:tcPr>
            <w:tcW w:w="332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33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allowance</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3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Homecare</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86.4 %</w:t>
            </w:r>
          </w:p>
        </w:tc>
        <w:tc>
          <w:tcPr>
            <w:tcW w:w="30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86.0 %</w:t>
            </w:r>
          </w:p>
        </w:tc>
        <w:tc>
          <w:tcPr>
            <w:tcW w:w="10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86.3 %</w:t>
            </w:r>
          </w:p>
        </w:tc>
        <w:tc>
          <w:tcPr>
            <w:tcW w:w="2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85.3 %</w:t>
            </w:r>
          </w:p>
        </w:tc>
        <w:tc>
          <w:tcPr>
            <w:tcW w:w="0" w:type="dxa"/>
            <w:vAlign w:val="bottom"/>
          </w:tcPr>
          <w:p>
            <w:pPr>
              <w:spacing w:after="0"/>
              <w:rPr>
                <w:sz w:val="1"/>
                <w:szCs w:val="1"/>
                <w:color w:val="auto"/>
              </w:rPr>
            </w:pPr>
          </w:p>
        </w:tc>
      </w:tr>
      <w:tr>
        <w:trPr>
          <w:trHeight w:val="216"/>
        </w:trPr>
        <w:tc>
          <w:tcPr>
            <w:tcW w:w="33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Inpatient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7.7</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8.0</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Continuous care</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4.5</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4.3</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3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Other</w:t>
            </w:r>
          </w:p>
        </w:tc>
        <w:tc>
          <w:tcPr>
            <w:tcW w:w="1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1.4</w:t>
            </w:r>
          </w:p>
        </w:tc>
        <w:tc>
          <w:tcPr>
            <w:tcW w:w="1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3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1.4</w:t>
            </w:r>
          </w:p>
        </w:tc>
        <w:tc>
          <w:tcPr>
            <w:tcW w:w="1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332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Subtotal</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100.0</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100.0</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3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Room and board, net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(0.8)</w:t>
            </w:r>
          </w:p>
        </w:tc>
        <w:tc>
          <w:tcPr>
            <w:tcW w:w="30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(0.8)</w:t>
            </w:r>
          </w:p>
        </w:tc>
        <w:tc>
          <w:tcPr>
            <w:tcW w:w="1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(0.8)</w:t>
            </w:r>
          </w:p>
        </w:tc>
        <w:tc>
          <w:tcPr>
            <w:tcW w:w="2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(0.9)</w:t>
            </w:r>
          </w:p>
        </w:tc>
        <w:tc>
          <w:tcPr>
            <w:tcW w:w="0" w:type="dxa"/>
            <w:vAlign w:val="bottom"/>
          </w:tcPr>
          <w:p>
            <w:pPr>
              <w:spacing w:after="0"/>
              <w:rPr>
                <w:sz w:val="1"/>
                <w:szCs w:val="1"/>
                <w:color w:val="auto"/>
              </w:rPr>
            </w:pPr>
          </w:p>
        </w:tc>
      </w:tr>
      <w:tr>
        <w:trPr>
          <w:trHeight w:val="216"/>
        </w:trPr>
        <w:tc>
          <w:tcPr>
            <w:tcW w:w="33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Contractual allowances</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(1.7)</w:t>
            </w:r>
          </w:p>
        </w:tc>
        <w:tc>
          <w:tcPr>
            <w:tcW w:w="30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(0.8)</w:t>
            </w:r>
          </w:p>
        </w:tc>
        <w:tc>
          <w:tcPr>
            <w:tcW w:w="1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(1.3)</w:t>
            </w:r>
          </w:p>
        </w:tc>
        <w:tc>
          <w:tcPr>
            <w:tcW w:w="2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(0.8)</w:t>
            </w:r>
          </w:p>
        </w:tc>
        <w:tc>
          <w:tcPr>
            <w:tcW w:w="0" w:type="dxa"/>
            <w:vAlign w:val="bottom"/>
          </w:tcPr>
          <w:p>
            <w:pPr>
              <w:spacing w:after="0"/>
              <w:rPr>
                <w:sz w:val="1"/>
                <w:szCs w:val="1"/>
                <w:color w:val="auto"/>
              </w:rPr>
            </w:pPr>
          </w:p>
        </w:tc>
      </w:tr>
      <w:tr>
        <w:trPr>
          <w:trHeight w:val="199"/>
        </w:trPr>
        <w:tc>
          <w:tcPr>
            <w:tcW w:w="33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Medicare cap allowance</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(0.2)</w:t>
            </w:r>
          </w:p>
        </w:tc>
        <w:tc>
          <w:tcPr>
            <w:tcW w:w="300" w:type="dxa"/>
            <w:vAlign w:val="bottom"/>
          </w:tcPr>
          <w:p>
            <w:pPr>
              <w:spacing w:after="0"/>
              <w:rPr>
                <w:sz w:val="17"/>
                <w:szCs w:val="17"/>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7"/>
                <w:szCs w:val="17"/>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(0.3)</w:t>
            </w:r>
          </w:p>
        </w:tc>
        <w:tc>
          <w:tcPr>
            <w:tcW w:w="280" w:type="dxa"/>
            <w:vAlign w:val="bottom"/>
          </w:tcPr>
          <w:p>
            <w:pPr>
              <w:spacing w:after="0"/>
              <w:rPr>
                <w:sz w:val="17"/>
                <w:szCs w:val="17"/>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32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Net Revenue</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97.3 %</w:t>
            </w:r>
          </w:p>
        </w:tc>
        <w:tc>
          <w:tcPr>
            <w:tcW w:w="30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97.0 %</w:t>
            </w:r>
          </w:p>
        </w:tc>
        <w:tc>
          <w:tcPr>
            <w:tcW w:w="10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97.6 %</w:t>
            </w:r>
          </w:p>
        </w:tc>
        <w:tc>
          <w:tcPr>
            <w:tcW w:w="2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96.3 %</w:t>
            </w:r>
          </w:p>
        </w:tc>
        <w:tc>
          <w:tcPr>
            <w:tcW w:w="0" w:type="dxa"/>
            <w:vAlign w:val="bottom"/>
          </w:tcPr>
          <w:p>
            <w:pPr>
              <w:spacing w:after="0"/>
              <w:rPr>
                <w:sz w:val="1"/>
                <w:szCs w:val="1"/>
                <w:color w:val="auto"/>
              </w:rPr>
            </w:pPr>
          </w:p>
        </w:tc>
      </w:tr>
      <w:tr>
        <w:trPr>
          <w:trHeight w:val="219"/>
        </w:trPr>
        <w:tc>
          <w:tcPr>
            <w:tcW w:w="33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Days of care</w:t>
            </w:r>
          </w:p>
        </w:tc>
        <w:tc>
          <w:tcPr>
            <w:tcW w:w="1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Homecare</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1,872,071</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1,685,859</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5,356,050</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4,980,883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3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Nursing home</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312,663</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309,192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910,534</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923,458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3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Respite</w:t>
            </w:r>
          </w:p>
        </w:tc>
        <w:tc>
          <w:tcPr>
            <w:tcW w:w="1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12,502</w:t>
            </w:r>
          </w:p>
        </w:tc>
        <w:tc>
          <w:tcPr>
            <w:tcW w:w="1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12,184</w:t>
            </w:r>
          </w:p>
        </w:tc>
        <w:tc>
          <w:tcPr>
            <w:tcW w:w="3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35,684</w:t>
            </w:r>
          </w:p>
        </w:tc>
        <w:tc>
          <w:tcPr>
            <w:tcW w:w="1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33,619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332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Subtotal routine homecare and respite</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2,197,236</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2,007,235</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6,302,268</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5,937,960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3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Inpatient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30,494</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28,530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90,671</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86,447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3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Continuous care</w:t>
            </w:r>
          </w:p>
        </w:tc>
        <w:tc>
          <w:tcPr>
            <w:tcW w:w="1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19,683</w:t>
            </w:r>
          </w:p>
        </w:tc>
        <w:tc>
          <w:tcPr>
            <w:tcW w:w="1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18,309</w:t>
            </w:r>
          </w:p>
        </w:tc>
        <w:tc>
          <w:tcPr>
            <w:tcW w:w="3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55,065</w:t>
            </w:r>
          </w:p>
        </w:tc>
        <w:tc>
          <w:tcPr>
            <w:tcW w:w="1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62,576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32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Total</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2,247,413</w:t>
            </w: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2,054,074</w:t>
            </w: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6,448,004</w:t>
            </w:r>
          </w:p>
        </w:tc>
        <w:tc>
          <w:tcPr>
            <w:tcW w:w="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6,086,983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479"/>
          </w:cols>
          <w:pgMar w:left="980" w:top="331" w:right="1440" w:bottom="281" w:gutter="0" w:footer="0" w:header="0"/>
        </w:sectPr>
      </w:pPr>
    </w:p>
    <w:p>
      <w:pPr>
        <w:spacing w:after="0" w:line="47" w:lineRule="exact"/>
        <w:rPr>
          <w:sz w:val="20"/>
          <w:szCs w:val="20"/>
          <w:color w:val="auto"/>
        </w:rPr>
      </w:pPr>
    </w:p>
    <w:p>
      <w:pPr>
        <w:ind w:left="100" w:right="1060"/>
        <w:spacing w:after="0" w:line="322" w:lineRule="auto"/>
        <w:rPr>
          <w:sz w:val="20"/>
          <w:szCs w:val="20"/>
          <w:color w:val="auto"/>
        </w:rPr>
      </w:pPr>
      <w:r>
        <w:rPr>
          <w:rFonts w:ascii="Times New Roman" w:cs="Times New Roman" w:eastAsia="Times New Roman" w:hAnsi="Times New Roman"/>
          <w:sz w:val="14"/>
          <w:szCs w:val="14"/>
          <w:color w:val="auto"/>
        </w:rPr>
        <w:t>Number of days in relevant time period Average daily census ("ADC") (days)</w:t>
      </w:r>
    </w:p>
    <w:p>
      <w:pPr>
        <w:ind w:left="320"/>
        <w:spacing w:after="0"/>
        <w:rPr>
          <w:sz w:val="20"/>
          <w:szCs w:val="20"/>
          <w:color w:val="auto"/>
        </w:rPr>
      </w:pPr>
      <w:r>
        <w:rPr>
          <w:rFonts w:ascii="Times New Roman" w:cs="Times New Roman" w:eastAsia="Times New Roman" w:hAnsi="Times New Roman"/>
          <w:sz w:val="14"/>
          <w:szCs w:val="14"/>
          <w:color w:val="auto"/>
        </w:rPr>
        <w:t>Homecare</w:t>
      </w:r>
    </w:p>
    <w:p>
      <w:pPr>
        <w:spacing w:after="0" w:line="5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Nursing home</w:t>
      </w:r>
    </w:p>
    <w:p>
      <w:pPr>
        <w:spacing w:after="0" w:line="5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Respite</w:t>
      </w:r>
    </w:p>
    <w:p>
      <w:pPr>
        <w:spacing w:after="0" w:line="6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Subtotal routine homecare and respite</w:t>
      </w:r>
    </w:p>
    <w:p>
      <w:pPr>
        <w:spacing w:after="0" w:line="5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Inpatient</w:t>
      </w:r>
    </w:p>
    <w:p>
      <w:pPr>
        <w:spacing w:after="0" w:line="5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Continuous care</w:t>
      </w:r>
    </w:p>
    <w:p>
      <w:pPr>
        <w:spacing w:after="0" w:line="8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Total</w:t>
      </w:r>
    </w:p>
    <w:p>
      <w:pPr>
        <w:spacing w:after="0" w:line="28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Total Admissions</w:t>
      </w:r>
    </w:p>
    <w:p>
      <w:pPr>
        <w:spacing w:after="0" w:line="5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Total Discharges</w:t>
      </w:r>
    </w:p>
    <w:p>
      <w:pPr>
        <w:spacing w:after="0" w:line="5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Average length of stay (days)</w:t>
      </w:r>
    </w:p>
    <w:p>
      <w:pPr>
        <w:spacing w:after="0" w:line="5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Median length of stay (days)</w:t>
      </w:r>
    </w:p>
    <w:p>
      <w:pPr>
        <w:spacing w:after="0" w:line="2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ADC by major diagnosis</w:t>
      </w:r>
    </w:p>
    <w:p>
      <w:pPr>
        <w:spacing w:after="0" w:line="5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Cerebro</w:t>
      </w:r>
    </w:p>
    <w:p>
      <w:pPr>
        <w:spacing w:after="0" w:line="5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Neurological</w:t>
      </w:r>
    </w:p>
    <w:p>
      <w:pPr>
        <w:spacing w:after="0" w:line="5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Cancer</w:t>
      </w:r>
    </w:p>
    <w:p>
      <w:pPr>
        <w:spacing w:after="0" w:line="5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Cardio</w:t>
      </w:r>
    </w:p>
    <w:p>
      <w:pPr>
        <w:spacing w:after="0" w:line="5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Respiratory</w:t>
      </w:r>
    </w:p>
    <w:p>
      <w:pPr>
        <w:spacing w:after="0" w:line="5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Other</w:t>
      </w:r>
    </w:p>
    <w:p>
      <w:pPr>
        <w:spacing w:after="0" w:line="8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Total</w:t>
      </w:r>
    </w:p>
    <w:p>
      <w:pPr>
        <w:spacing w:after="0" w:line="6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Admissions by major diagnosis</w:t>
      </w:r>
    </w:p>
    <w:p>
      <w:pPr>
        <w:spacing w:after="0" w:line="5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Cerebro</w:t>
      </w:r>
    </w:p>
    <w:p>
      <w:pPr>
        <w:spacing w:after="0" w:line="5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Neurological</w:t>
      </w:r>
    </w:p>
    <w:p>
      <w:pPr>
        <w:spacing w:after="0" w:line="5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Cancer</w:t>
      </w:r>
    </w:p>
    <w:p>
      <w:pPr>
        <w:spacing w:after="0" w:line="5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Cardio</w:t>
      </w:r>
    </w:p>
    <w:p>
      <w:pPr>
        <w:spacing w:after="0" w:line="5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Respiratory</w:t>
      </w:r>
    </w:p>
    <w:p>
      <w:pPr>
        <w:spacing w:after="0" w:line="5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Other</w:t>
      </w:r>
    </w:p>
    <w:p>
      <w:pPr>
        <w:spacing w:after="0" w:line="8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Total</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Estimated uncollectible accounts as a percent of revenues</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Accounts receivable --</w:t>
      </w:r>
    </w:p>
    <w:p>
      <w:pPr>
        <w:spacing w:after="0" w:line="226" w:lineRule="auto"/>
        <w:rPr>
          <w:sz w:val="20"/>
          <w:szCs w:val="20"/>
          <w:color w:val="auto"/>
        </w:rPr>
      </w:pPr>
      <w:r>
        <w:rPr>
          <w:rFonts w:ascii="Times New Roman" w:cs="Times New Roman" w:eastAsia="Times New Roman" w:hAnsi="Times New Roman"/>
          <w:sz w:val="14"/>
          <w:szCs w:val="14"/>
          <w:color w:val="auto"/>
        </w:rPr>
        <w:t>Days of revenue outstanding-excluding unapplied Medicare</w:t>
      </w:r>
    </w:p>
    <w:p>
      <w:pPr>
        <w:spacing w:after="0" w:line="201" w:lineRule="auto"/>
        <w:rPr>
          <w:sz w:val="20"/>
          <w:szCs w:val="20"/>
          <w:color w:val="auto"/>
        </w:rPr>
      </w:pPr>
      <w:r>
        <w:rPr>
          <w:rFonts w:ascii="Times New Roman" w:cs="Times New Roman" w:eastAsia="Times New Roman" w:hAnsi="Times New Roman"/>
          <w:sz w:val="14"/>
          <w:szCs w:val="14"/>
          <w:color w:val="auto"/>
        </w:rPr>
        <w:t>payments</w:t>
      </w:r>
    </w:p>
    <w:p>
      <w:pPr>
        <w:spacing w:after="0" w:line="1"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4"/>
          <w:szCs w:val="14"/>
          <w:color w:val="auto"/>
        </w:rPr>
        <w:t>Days of revenue outstanding-including unapplied Medicare payments</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92</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3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273</w:t>
            </w:r>
          </w:p>
        </w:tc>
        <w:tc>
          <w:tcPr>
            <w:tcW w:w="1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w:t>
            </w:r>
          </w:p>
        </w:tc>
        <w:tc>
          <w:tcPr>
            <w:tcW w:w="120" w:type="dxa"/>
            <w:vAlign w:val="bottom"/>
          </w:tcPr>
          <w:p>
            <w:pPr>
              <w:spacing w:after="0"/>
              <w:rPr>
                <w:sz w:val="16"/>
                <w:szCs w:val="16"/>
                <w:color w:val="auto"/>
              </w:rPr>
            </w:pPr>
          </w:p>
        </w:tc>
      </w:tr>
      <w:tr>
        <w:trPr>
          <w:trHeight w:val="432"/>
        </w:trPr>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20,348</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18,325</w:t>
            </w:r>
          </w:p>
        </w:tc>
        <w:tc>
          <w:tcPr>
            <w:tcW w:w="3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19,619</w:t>
            </w:r>
          </w:p>
        </w:tc>
        <w:tc>
          <w:tcPr>
            <w:tcW w:w="1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18,245</w:t>
            </w:r>
          </w:p>
        </w:tc>
        <w:tc>
          <w:tcPr>
            <w:tcW w:w="120" w:type="dxa"/>
            <w:vAlign w:val="bottom"/>
          </w:tcPr>
          <w:p>
            <w:pPr>
              <w:spacing w:after="0"/>
              <w:rPr>
                <w:sz w:val="24"/>
                <w:szCs w:val="24"/>
                <w:color w:val="auto"/>
              </w:rPr>
            </w:pPr>
          </w:p>
        </w:tc>
      </w:tr>
      <w:tr>
        <w:trPr>
          <w:trHeight w:val="216"/>
        </w:trPr>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3,399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3,361</w:t>
            </w:r>
          </w:p>
        </w:tc>
        <w:tc>
          <w:tcPr>
            <w:tcW w:w="3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3,335</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3,383</w:t>
            </w:r>
          </w:p>
        </w:tc>
        <w:tc>
          <w:tcPr>
            <w:tcW w:w="120" w:type="dxa"/>
            <w:vAlign w:val="bottom"/>
          </w:tcPr>
          <w:p>
            <w:pPr>
              <w:spacing w:after="0"/>
              <w:rPr>
                <w:sz w:val="18"/>
                <w:szCs w:val="18"/>
                <w:color w:val="auto"/>
              </w:rPr>
            </w:pPr>
          </w:p>
        </w:tc>
      </w:tr>
      <w:tr>
        <w:trPr>
          <w:trHeight w:val="199"/>
        </w:trPr>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136</w:t>
            </w:r>
          </w:p>
        </w:tc>
        <w:tc>
          <w:tcPr>
            <w:tcW w:w="1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320" w:type="dxa"/>
            <w:vAlign w:val="bottom"/>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131</w:t>
            </w:r>
          </w:p>
        </w:tc>
        <w:tc>
          <w:tcPr>
            <w:tcW w:w="160" w:type="dxa"/>
            <w:vAlign w:val="bottom"/>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120" w:type="dxa"/>
            <w:vAlign w:val="bottom"/>
          </w:tcPr>
          <w:p>
            <w:pPr>
              <w:spacing w:after="0"/>
              <w:rPr>
                <w:sz w:val="17"/>
                <w:szCs w:val="17"/>
                <w:color w:val="auto"/>
              </w:rPr>
            </w:pPr>
          </w:p>
        </w:tc>
      </w:tr>
      <w:tr>
        <w:trPr>
          <w:trHeight w:val="227"/>
        </w:trPr>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23,883</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21,818</w:t>
            </w: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23,085</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21,751</w:t>
            </w:r>
          </w:p>
        </w:tc>
        <w:tc>
          <w:tcPr>
            <w:tcW w:w="120" w:type="dxa"/>
            <w:vAlign w:val="bottom"/>
          </w:tcPr>
          <w:p>
            <w:pPr>
              <w:spacing w:after="0"/>
              <w:rPr>
                <w:sz w:val="19"/>
                <w:szCs w:val="19"/>
                <w:color w:val="auto"/>
              </w:rPr>
            </w:pPr>
          </w:p>
        </w:tc>
      </w:tr>
      <w:tr>
        <w:trPr>
          <w:trHeight w:val="216"/>
        </w:trPr>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331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310</w:t>
            </w:r>
          </w:p>
        </w:tc>
        <w:tc>
          <w:tcPr>
            <w:tcW w:w="3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332</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w:t>
            </w:r>
          </w:p>
        </w:tc>
        <w:tc>
          <w:tcPr>
            <w:tcW w:w="120" w:type="dxa"/>
            <w:vAlign w:val="bottom"/>
          </w:tcPr>
          <w:p>
            <w:pPr>
              <w:spacing w:after="0"/>
              <w:rPr>
                <w:sz w:val="18"/>
                <w:szCs w:val="18"/>
                <w:color w:val="auto"/>
              </w:rPr>
            </w:pPr>
          </w:p>
        </w:tc>
      </w:tr>
      <w:tr>
        <w:trPr>
          <w:trHeight w:val="199"/>
        </w:trPr>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214</w:t>
            </w:r>
          </w:p>
        </w:tc>
        <w:tc>
          <w:tcPr>
            <w:tcW w:w="1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199</w:t>
            </w:r>
          </w:p>
        </w:tc>
        <w:tc>
          <w:tcPr>
            <w:tcW w:w="320" w:type="dxa"/>
            <w:vAlign w:val="bottom"/>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w:t>
            </w:r>
          </w:p>
        </w:tc>
        <w:tc>
          <w:tcPr>
            <w:tcW w:w="160" w:type="dxa"/>
            <w:vAlign w:val="bottom"/>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229</w:t>
            </w:r>
          </w:p>
        </w:tc>
        <w:tc>
          <w:tcPr>
            <w:tcW w:w="120" w:type="dxa"/>
            <w:vAlign w:val="bottom"/>
          </w:tcPr>
          <w:p>
            <w:pPr>
              <w:spacing w:after="0"/>
              <w:rPr>
                <w:sz w:val="17"/>
                <w:szCs w:val="17"/>
                <w:color w:val="auto"/>
              </w:rPr>
            </w:pPr>
          </w:p>
        </w:tc>
      </w:tr>
      <w:tr>
        <w:trPr>
          <w:trHeight w:val="217"/>
        </w:trPr>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24,428</w:t>
            </w: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22,327</w:t>
            </w:r>
          </w:p>
        </w:tc>
        <w:tc>
          <w:tcPr>
            <w:tcW w:w="320" w:type="dxa"/>
            <w:vAlign w:val="bottom"/>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23,619</w:t>
            </w:r>
          </w:p>
        </w:tc>
        <w:tc>
          <w:tcPr>
            <w:tcW w:w="16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22,297</w:t>
            </w:r>
          </w:p>
        </w:tc>
        <w:tc>
          <w:tcPr>
            <w:tcW w:w="120" w:type="dxa"/>
            <w:vAlign w:val="bottom"/>
          </w:tcPr>
          <w:p>
            <w:pPr>
              <w:spacing w:after="0"/>
              <w:rPr>
                <w:sz w:val="18"/>
                <w:szCs w:val="18"/>
                <w:color w:val="auto"/>
              </w:rPr>
            </w:pPr>
          </w:p>
        </w:tc>
      </w:tr>
      <w:tr>
        <w:trPr>
          <w:trHeight w:val="449"/>
        </w:trPr>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18,995</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17,714</w:t>
            </w:r>
          </w:p>
        </w:tc>
        <w:tc>
          <w:tcPr>
            <w:tcW w:w="3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57,514</w:t>
            </w:r>
          </w:p>
        </w:tc>
        <w:tc>
          <w:tcPr>
            <w:tcW w:w="1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53,398</w:t>
            </w:r>
          </w:p>
        </w:tc>
        <w:tc>
          <w:tcPr>
            <w:tcW w:w="120" w:type="dxa"/>
            <w:vAlign w:val="bottom"/>
          </w:tcPr>
          <w:p>
            <w:pPr>
              <w:spacing w:after="0"/>
              <w:rPr>
                <w:sz w:val="24"/>
                <w:szCs w:val="24"/>
                <w:color w:val="auto"/>
              </w:rPr>
            </w:pPr>
          </w:p>
        </w:tc>
      </w:tr>
      <w:tr>
        <w:trPr>
          <w:trHeight w:val="216"/>
        </w:trPr>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18,426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17,348</w:t>
            </w:r>
          </w:p>
        </w:tc>
        <w:tc>
          <w:tcPr>
            <w:tcW w:w="3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55,130</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52,931</w:t>
            </w:r>
          </w:p>
        </w:tc>
        <w:tc>
          <w:tcPr>
            <w:tcW w:w="120" w:type="dxa"/>
            <w:vAlign w:val="bottom"/>
          </w:tcPr>
          <w:p>
            <w:pPr>
              <w:spacing w:after="0"/>
              <w:rPr>
                <w:sz w:val="18"/>
                <w:szCs w:val="18"/>
                <w:color w:val="auto"/>
              </w:rPr>
            </w:pPr>
          </w:p>
        </w:tc>
      </w:tr>
      <w:tr>
        <w:trPr>
          <w:trHeight w:val="216"/>
        </w:trPr>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103.5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109.7</w:t>
            </w:r>
          </w:p>
        </w:tc>
        <w:tc>
          <w:tcPr>
            <w:tcW w:w="3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102.5</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121.9</w:t>
            </w:r>
          </w:p>
        </w:tc>
        <w:tc>
          <w:tcPr>
            <w:tcW w:w="120" w:type="dxa"/>
            <w:vAlign w:val="bottom"/>
          </w:tcPr>
          <w:p>
            <w:pPr>
              <w:spacing w:after="0"/>
              <w:rPr>
                <w:sz w:val="18"/>
                <w:szCs w:val="18"/>
                <w:color w:val="auto"/>
              </w:rPr>
            </w:pPr>
          </w:p>
        </w:tc>
      </w:tr>
      <w:tr>
        <w:trPr>
          <w:trHeight w:val="216"/>
        </w:trPr>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17.0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3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16.0</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120" w:type="dxa"/>
            <w:vAlign w:val="bottom"/>
          </w:tcPr>
          <w:p>
            <w:pPr>
              <w:spacing w:after="0"/>
              <w:rPr>
                <w:sz w:val="18"/>
                <w:szCs w:val="18"/>
                <w:color w:val="auto"/>
              </w:rPr>
            </w:pPr>
          </w:p>
        </w:tc>
      </w:tr>
      <w:tr>
        <w:trPr>
          <w:trHeight w:val="648"/>
        </w:trPr>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44.1 %</w:t>
            </w:r>
          </w:p>
        </w:tc>
        <w:tc>
          <w:tcPr>
            <w:tcW w:w="160" w:type="dxa"/>
            <w:vAlign w:val="bottom"/>
          </w:tcPr>
          <w:p>
            <w:pPr>
              <w:spacing w:after="0"/>
              <w:rPr>
                <w:sz w:val="24"/>
                <w:szCs w:val="24"/>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44.1 %</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44.4 %</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44.6 %</w:t>
            </w:r>
          </w:p>
        </w:tc>
      </w:tr>
      <w:tr>
        <w:trPr>
          <w:trHeight w:val="216"/>
        </w:trPr>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11.2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3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11.1</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120" w:type="dxa"/>
            <w:vAlign w:val="bottom"/>
          </w:tcPr>
          <w:p>
            <w:pPr>
              <w:spacing w:after="0"/>
              <w:rPr>
                <w:sz w:val="18"/>
                <w:szCs w:val="18"/>
                <w:color w:val="auto"/>
              </w:rPr>
            </w:pPr>
          </w:p>
        </w:tc>
      </w:tr>
      <w:tr>
        <w:trPr>
          <w:trHeight w:val="216"/>
        </w:trPr>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3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9.4</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120" w:type="dxa"/>
            <w:vAlign w:val="bottom"/>
          </w:tcPr>
          <w:p>
            <w:pPr>
              <w:spacing w:after="0"/>
              <w:rPr>
                <w:sz w:val="18"/>
                <w:szCs w:val="18"/>
                <w:color w:val="auto"/>
              </w:rPr>
            </w:pPr>
          </w:p>
        </w:tc>
      </w:tr>
      <w:tr>
        <w:trPr>
          <w:trHeight w:val="216"/>
        </w:trPr>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16.8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3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16.6</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120" w:type="dxa"/>
            <w:vAlign w:val="bottom"/>
          </w:tcPr>
          <w:p>
            <w:pPr>
              <w:spacing w:after="0"/>
              <w:rPr>
                <w:sz w:val="18"/>
                <w:szCs w:val="18"/>
                <w:color w:val="auto"/>
              </w:rPr>
            </w:pPr>
          </w:p>
        </w:tc>
      </w:tr>
      <w:tr>
        <w:trPr>
          <w:trHeight w:val="216"/>
        </w:trPr>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3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7.9</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20" w:type="dxa"/>
            <w:vAlign w:val="bottom"/>
          </w:tcPr>
          <w:p>
            <w:pPr>
              <w:spacing w:after="0"/>
              <w:rPr>
                <w:sz w:val="18"/>
                <w:szCs w:val="18"/>
                <w:color w:val="auto"/>
              </w:rPr>
            </w:pPr>
          </w:p>
        </w:tc>
      </w:tr>
      <w:tr>
        <w:trPr>
          <w:trHeight w:val="199"/>
        </w:trPr>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10.6</w:t>
            </w:r>
          </w:p>
        </w:tc>
        <w:tc>
          <w:tcPr>
            <w:tcW w:w="1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320" w:type="dxa"/>
            <w:vAlign w:val="bottom"/>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10.6</w:t>
            </w:r>
          </w:p>
        </w:tc>
        <w:tc>
          <w:tcPr>
            <w:tcW w:w="160" w:type="dxa"/>
            <w:vAlign w:val="bottom"/>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120" w:type="dxa"/>
            <w:vAlign w:val="bottom"/>
          </w:tcPr>
          <w:p>
            <w:pPr>
              <w:spacing w:after="0"/>
              <w:rPr>
                <w:sz w:val="17"/>
                <w:szCs w:val="17"/>
                <w:color w:val="auto"/>
              </w:rPr>
            </w:pPr>
          </w:p>
        </w:tc>
      </w:tr>
      <w:tr>
        <w:trPr>
          <w:trHeight w:val="210"/>
        </w:trPr>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100.0 %</w:t>
            </w:r>
          </w:p>
        </w:tc>
        <w:tc>
          <w:tcPr>
            <w:tcW w:w="16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100.0 %</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100.0 %</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100.0 %</w:t>
            </w:r>
          </w:p>
        </w:tc>
      </w:tr>
      <w:tr>
        <w:trPr>
          <w:trHeight w:val="27"/>
        </w:trPr>
        <w:tc>
          <w:tcPr>
            <w:tcW w:w="12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449"/>
        </w:trPr>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28.0 %</w:t>
            </w:r>
          </w:p>
        </w:tc>
        <w:tc>
          <w:tcPr>
            <w:tcW w:w="160" w:type="dxa"/>
            <w:vAlign w:val="bottom"/>
          </w:tcPr>
          <w:p>
            <w:pPr>
              <w:spacing w:after="0"/>
              <w:rPr>
                <w:sz w:val="24"/>
                <w:szCs w:val="24"/>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27.1 %</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27.5 %</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27.6 %</w:t>
            </w:r>
          </w:p>
        </w:tc>
      </w:tr>
      <w:tr>
        <w:trPr>
          <w:trHeight w:val="216"/>
        </w:trPr>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3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6.9</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20" w:type="dxa"/>
            <w:vAlign w:val="bottom"/>
          </w:tcPr>
          <w:p>
            <w:pPr>
              <w:spacing w:after="0"/>
              <w:rPr>
                <w:sz w:val="18"/>
                <w:szCs w:val="18"/>
                <w:color w:val="auto"/>
              </w:rPr>
            </w:pPr>
          </w:p>
        </w:tc>
      </w:tr>
      <w:tr>
        <w:trPr>
          <w:trHeight w:val="216"/>
        </w:trPr>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24.7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w:t>
            </w:r>
          </w:p>
        </w:tc>
        <w:tc>
          <w:tcPr>
            <w:tcW w:w="3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24.3</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w:t>
            </w:r>
          </w:p>
        </w:tc>
        <w:tc>
          <w:tcPr>
            <w:tcW w:w="120" w:type="dxa"/>
            <w:vAlign w:val="bottom"/>
          </w:tcPr>
          <w:p>
            <w:pPr>
              <w:spacing w:after="0"/>
              <w:rPr>
                <w:sz w:val="18"/>
                <w:szCs w:val="18"/>
                <w:color w:val="auto"/>
              </w:rPr>
            </w:pPr>
          </w:p>
        </w:tc>
      </w:tr>
      <w:tr>
        <w:trPr>
          <w:trHeight w:val="216"/>
        </w:trPr>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14.9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3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15.3</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120" w:type="dxa"/>
            <w:vAlign w:val="bottom"/>
          </w:tcPr>
          <w:p>
            <w:pPr>
              <w:spacing w:after="0"/>
              <w:rPr>
                <w:sz w:val="18"/>
                <w:szCs w:val="18"/>
                <w:color w:val="auto"/>
              </w:rPr>
            </w:pPr>
          </w:p>
        </w:tc>
      </w:tr>
      <w:tr>
        <w:trPr>
          <w:trHeight w:val="216"/>
        </w:trPr>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3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12.2</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120" w:type="dxa"/>
            <w:vAlign w:val="bottom"/>
          </w:tcPr>
          <w:p>
            <w:pPr>
              <w:spacing w:after="0"/>
              <w:rPr>
                <w:sz w:val="18"/>
                <w:szCs w:val="18"/>
                <w:color w:val="auto"/>
              </w:rPr>
            </w:pPr>
          </w:p>
        </w:tc>
      </w:tr>
      <w:tr>
        <w:trPr>
          <w:trHeight w:val="199"/>
        </w:trPr>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13.4</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320" w:type="dxa"/>
            <w:vAlign w:val="bottom"/>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13.8</w:t>
            </w:r>
          </w:p>
        </w:tc>
        <w:tc>
          <w:tcPr>
            <w:tcW w:w="160" w:type="dxa"/>
            <w:vAlign w:val="bottom"/>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120" w:type="dxa"/>
            <w:vAlign w:val="bottom"/>
          </w:tcPr>
          <w:p>
            <w:pPr>
              <w:spacing w:after="0"/>
              <w:rPr>
                <w:sz w:val="17"/>
                <w:szCs w:val="17"/>
                <w:color w:val="auto"/>
              </w:rPr>
            </w:pPr>
          </w:p>
        </w:tc>
      </w:tr>
      <w:tr>
        <w:trPr>
          <w:trHeight w:val="209"/>
        </w:trPr>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100.0 %</w:t>
            </w:r>
          </w:p>
        </w:tc>
        <w:tc>
          <w:tcPr>
            <w:tcW w:w="16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100.0 %</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100.0 %</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100.0 %</w:t>
            </w:r>
          </w:p>
        </w:tc>
      </w:tr>
      <w:tr>
        <w:trPr>
          <w:trHeight w:val="27"/>
        </w:trPr>
        <w:tc>
          <w:tcPr>
            <w:tcW w:w="12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449"/>
        </w:trPr>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1.2 %</w:t>
            </w:r>
          </w:p>
        </w:tc>
        <w:tc>
          <w:tcPr>
            <w:tcW w:w="160" w:type="dxa"/>
            <w:vAlign w:val="bottom"/>
          </w:tcPr>
          <w:p>
            <w:pPr>
              <w:spacing w:after="0"/>
              <w:rPr>
                <w:sz w:val="24"/>
                <w:szCs w:val="24"/>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0.9 %</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1.3 %</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0.8 %</w:t>
            </w:r>
          </w:p>
        </w:tc>
      </w:tr>
      <w:tr>
        <w:trPr>
          <w:trHeight w:val="715"/>
        </w:trPr>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39.0</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w:t>
            </w:r>
          </w:p>
        </w:tc>
        <w:tc>
          <w:tcPr>
            <w:tcW w:w="320" w:type="dxa"/>
            <w:vAlign w:val="bottom"/>
          </w:tcPr>
          <w:p>
            <w:pPr>
              <w:spacing w:after="0"/>
              <w:rPr>
                <w:sz w:val="24"/>
                <w:szCs w:val="24"/>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n.a.</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n.a.</w:t>
            </w:r>
          </w:p>
        </w:tc>
      </w:tr>
      <w:tr>
        <w:trPr>
          <w:trHeight w:val="284"/>
        </w:trPr>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37.4</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w:t>
            </w:r>
          </w:p>
        </w:tc>
        <w:tc>
          <w:tcPr>
            <w:tcW w:w="320" w:type="dxa"/>
            <w:vAlign w:val="bottom"/>
          </w:tcPr>
          <w:p>
            <w:pPr>
              <w:spacing w:after="0"/>
              <w:rPr>
                <w:sz w:val="24"/>
                <w:szCs w:val="24"/>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n.a.</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-2211705</wp:posOffset>
            </wp:positionH>
            <wp:positionV relativeFrom="paragraph">
              <wp:posOffset>344805</wp:posOffset>
            </wp:positionV>
            <wp:extent cx="6000115" cy="508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000115" cy="50800"/>
                    </a:xfrm>
                    <a:prstGeom prst="rect">
                      <a:avLst/>
                    </a:prstGeom>
                    <a:noFill/>
                  </pic:spPr>
                </pic:pic>
              </a:graphicData>
            </a:graphic>
          </wp:anchor>
        </w:drawing>
      </w:r>
    </w:p>
    <w:p>
      <w:pPr>
        <w:sectPr>
          <w:pgSz w:w="11900" w:h="16838" w:orient="portrait"/>
          <w:cols w:equalWidth="0" w:num="2">
            <w:col w:w="3440" w:space="20"/>
            <w:col w:w="6019"/>
          </w:cols>
          <w:pgMar w:left="980" w:top="331" w:right="1440" w:bottom="281" w:gutter="0" w:footer="0" w:header="0"/>
          <w:type w:val="continuous"/>
        </w:sectPr>
      </w:pPr>
    </w:p>
    <w:bookmarkStart w:id="17" w:name="page18"/>
    <w:bookmarkEnd w:id="17"/>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8" w:name="page19"/>
    <w:bookmarkEnd w:id="18"/>
    <w:p>
      <w:pPr>
        <w:jc w:val="center"/>
        <w:ind w:right="119"/>
        <w:spacing w:after="0" w:line="289" w:lineRule="auto"/>
        <w:rPr>
          <w:sz w:val="20"/>
          <w:szCs w:val="20"/>
          <w:color w:val="auto"/>
        </w:rPr>
      </w:pPr>
      <w:r>
        <w:rPr>
          <w:rFonts w:ascii="Times New Roman" w:cs="Times New Roman" w:eastAsia="Times New Roman" w:hAnsi="Times New Roman"/>
          <w:sz w:val="14"/>
          <w:szCs w:val="14"/>
          <w:b w:val="1"/>
          <w:bCs w:val="1"/>
          <w:color w:val="auto"/>
        </w:rPr>
        <w:t>CHEMED CORPORATION AND SUBSIDIARY COMPANIES FOOTNOTES TO FINANCIAL STATEMENTS FOR THE THREE AND NINE MONTHS ENDED SEPTEMBER 30, 2026 AND 2025</w:t>
      </w:r>
    </w:p>
    <w:p>
      <w:pPr>
        <w:spacing w:after="0" w:line="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(unaudited)</w:t>
      </w:r>
    </w:p>
    <w:p>
      <w:pPr>
        <w:spacing w:after="0" w:line="244" w:lineRule="exact"/>
        <w:rPr>
          <w:sz w:val="20"/>
          <w:szCs w:val="20"/>
          <w:color w:val="auto"/>
        </w:rPr>
      </w:pPr>
    </w:p>
    <w:p>
      <w:pPr>
        <w:ind w:left="240" w:right="1019" w:hanging="202"/>
        <w:spacing w:after="0" w:line="198" w:lineRule="auto"/>
        <w:tabs>
          <w:tab w:leader="none" w:pos="240" w:val="left"/>
        </w:tabs>
        <w:numPr>
          <w:ilvl w:val="0"/>
          <w:numId w:val="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4"/>
          <w:szCs w:val="14"/>
          <w:color w:val="auto"/>
        </w:rPr>
        <w:t>Included in the results of operations for 2026 are the following significant credits/(charges) which may not be indicative of ongoing operations (in thousands):</w:t>
      </w:r>
    </w:p>
    <w:p>
      <w:pPr>
        <w:spacing w:after="0" w:line="14" w:lineRule="exact"/>
        <w:rPr>
          <w:sz w:val="20"/>
          <w:szCs w:val="20"/>
          <w:color w:val="auto"/>
        </w:rPr>
      </w:pPr>
    </w:p>
    <w:tbl>
      <w:tblPr>
        <w:tblLayout w:type="fixed"/>
        <w:tblInd w:w="460" w:type="dxa"/>
        <w:tblCellMar>
          <w:top w:w="0" w:type="dxa"/>
          <w:left w:w="0" w:type="dxa"/>
          <w:bottom w:w="0" w:type="dxa"/>
          <w:right w:w="0" w:type="dxa"/>
        </w:tblCellMar>
      </w:tblPr>
      <w:tr>
        <w:trPr>
          <w:trHeight w:val="187"/>
        </w:trPr>
        <w:tc>
          <w:tcPr>
            <w:tcW w:w="35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9"/>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Three Months Ended September 30, 2026</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5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VITAS</w:t>
            </w: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99"/>
              </w:rPr>
              <w:t>Roto-Rooter</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99"/>
              </w:rPr>
              <w:t>Consolidated</w:t>
            </w:r>
          </w:p>
        </w:tc>
        <w:tc>
          <w:tcPr>
            <w:tcW w:w="0" w:type="dxa"/>
            <w:vAlign w:val="bottom"/>
          </w:tcPr>
          <w:p>
            <w:pPr>
              <w:spacing w:after="0"/>
              <w:rPr>
                <w:sz w:val="1"/>
                <w:szCs w:val="1"/>
                <w:color w:val="auto"/>
              </w:rPr>
            </w:pPr>
          </w:p>
        </w:tc>
      </w:tr>
      <w:tr>
        <w:trPr>
          <w:trHeight w:val="402"/>
        </w:trPr>
        <w:tc>
          <w:tcPr>
            <w:tcW w:w="3540" w:type="dxa"/>
            <w:vAlign w:val="bottom"/>
          </w:tcPr>
          <w:p>
            <w:pPr>
              <w:spacing w:after="0"/>
              <w:rPr>
                <w:sz w:val="20"/>
                <w:szCs w:val="20"/>
                <w:color w:val="auto"/>
              </w:rPr>
            </w:pPr>
            <w:r>
              <w:rPr>
                <w:rFonts w:ascii="Times New Roman" w:cs="Times New Roman" w:eastAsia="Times New Roman" w:hAnsi="Times New Roman"/>
                <w:sz w:val="14"/>
                <w:szCs w:val="14"/>
                <w:color w:val="auto"/>
              </w:rPr>
              <w:t>Legal settlements</w:t>
            </w:r>
          </w:p>
        </w:tc>
        <w:tc>
          <w:tcPr>
            <w:tcW w:w="9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(6,705)</w:t>
            </w:r>
          </w:p>
        </w:tc>
        <w:tc>
          <w:tcPr>
            <w:tcW w:w="280" w:type="dxa"/>
            <w:vAlign w:val="bottom"/>
            <w:gridSpan w:val="2"/>
          </w:tcPr>
          <w:p>
            <w:pPr>
              <w:jc w:val="right"/>
              <w:ind w:right="23"/>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(308)</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(7,013)</w:t>
            </w:r>
          </w:p>
        </w:tc>
        <w:tc>
          <w:tcPr>
            <w:tcW w:w="0" w:type="dxa"/>
            <w:vAlign w:val="bottom"/>
          </w:tcPr>
          <w:p>
            <w:pPr>
              <w:spacing w:after="0"/>
              <w:rPr>
                <w:sz w:val="1"/>
                <w:szCs w:val="1"/>
                <w:color w:val="auto"/>
              </w:rPr>
            </w:pPr>
          </w:p>
        </w:tc>
      </w:tr>
      <w:tr>
        <w:trPr>
          <w:trHeight w:val="203"/>
        </w:trPr>
        <w:tc>
          <w:tcPr>
            <w:tcW w:w="3540" w:type="dxa"/>
            <w:vAlign w:val="bottom"/>
          </w:tcPr>
          <w:p>
            <w:pPr>
              <w:spacing w:after="0"/>
              <w:rPr>
                <w:sz w:val="20"/>
                <w:szCs w:val="20"/>
                <w:color w:val="auto"/>
              </w:rPr>
            </w:pPr>
            <w:r>
              <w:rPr>
                <w:rFonts w:ascii="Times New Roman" w:cs="Times New Roman" w:eastAsia="Times New Roman" w:hAnsi="Times New Roman"/>
                <w:sz w:val="14"/>
                <w:szCs w:val="14"/>
                <w:color w:val="auto"/>
              </w:rPr>
              <w:t>Stock option expense</w:t>
            </w: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(5,984)</w:t>
            </w: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(5,984)</w:t>
            </w:r>
          </w:p>
        </w:tc>
        <w:tc>
          <w:tcPr>
            <w:tcW w:w="0" w:type="dxa"/>
            <w:vAlign w:val="bottom"/>
          </w:tcPr>
          <w:p>
            <w:pPr>
              <w:spacing w:after="0"/>
              <w:rPr>
                <w:sz w:val="1"/>
                <w:szCs w:val="1"/>
                <w:color w:val="auto"/>
              </w:rPr>
            </w:pPr>
          </w:p>
        </w:tc>
      </w:tr>
      <w:tr>
        <w:trPr>
          <w:trHeight w:val="203"/>
        </w:trPr>
        <w:tc>
          <w:tcPr>
            <w:tcW w:w="3540" w:type="dxa"/>
            <w:vAlign w:val="bottom"/>
          </w:tcPr>
          <w:p>
            <w:pPr>
              <w:spacing w:after="0"/>
              <w:rPr>
                <w:sz w:val="20"/>
                <w:szCs w:val="20"/>
                <w:color w:val="auto"/>
              </w:rPr>
            </w:pPr>
            <w:r>
              <w:rPr>
                <w:rFonts w:ascii="Times New Roman" w:cs="Times New Roman" w:eastAsia="Times New Roman" w:hAnsi="Times New Roman"/>
                <w:sz w:val="14"/>
                <w:szCs w:val="14"/>
                <w:color w:val="auto"/>
              </w:rPr>
              <w:t>Long-term incentive compensation</w:t>
            </w: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(3,151)</w:t>
            </w: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(3,151)</w:t>
            </w:r>
          </w:p>
        </w:tc>
        <w:tc>
          <w:tcPr>
            <w:tcW w:w="0" w:type="dxa"/>
            <w:vAlign w:val="bottom"/>
          </w:tcPr>
          <w:p>
            <w:pPr>
              <w:spacing w:after="0"/>
              <w:rPr>
                <w:sz w:val="1"/>
                <w:szCs w:val="1"/>
                <w:color w:val="auto"/>
              </w:rPr>
            </w:pPr>
          </w:p>
        </w:tc>
      </w:tr>
      <w:tr>
        <w:trPr>
          <w:trHeight w:val="203"/>
        </w:trPr>
        <w:tc>
          <w:tcPr>
            <w:tcW w:w="3540" w:type="dxa"/>
            <w:vAlign w:val="bottom"/>
          </w:tcPr>
          <w:p>
            <w:pPr>
              <w:spacing w:after="0"/>
              <w:rPr>
                <w:sz w:val="20"/>
                <w:szCs w:val="20"/>
                <w:color w:val="auto"/>
              </w:rPr>
            </w:pPr>
            <w:r>
              <w:rPr>
                <w:rFonts w:ascii="Times New Roman" w:cs="Times New Roman" w:eastAsia="Times New Roman" w:hAnsi="Times New Roman"/>
                <w:sz w:val="14"/>
                <w:szCs w:val="14"/>
                <w:color w:val="auto"/>
              </w:rPr>
              <w:t>Amortization of reacquired franchise agreements</w:t>
            </w: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(2,352)</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(2,352)</w:t>
            </w:r>
          </w:p>
        </w:tc>
        <w:tc>
          <w:tcPr>
            <w:tcW w:w="0" w:type="dxa"/>
            <w:vAlign w:val="bottom"/>
          </w:tcPr>
          <w:p>
            <w:pPr>
              <w:spacing w:after="0"/>
              <w:rPr>
                <w:sz w:val="1"/>
                <w:szCs w:val="1"/>
                <w:color w:val="auto"/>
              </w:rPr>
            </w:pPr>
          </w:p>
        </w:tc>
      </w:tr>
      <w:tr>
        <w:trPr>
          <w:trHeight w:val="186"/>
        </w:trPr>
        <w:tc>
          <w:tcPr>
            <w:tcW w:w="3540" w:type="dxa"/>
            <w:vAlign w:val="bottom"/>
          </w:tcPr>
          <w:p>
            <w:pPr>
              <w:spacing w:after="0"/>
              <w:rPr>
                <w:sz w:val="20"/>
                <w:szCs w:val="20"/>
                <w:color w:val="auto"/>
              </w:rPr>
            </w:pPr>
            <w:r>
              <w:rPr>
                <w:rFonts w:ascii="Times New Roman" w:cs="Times New Roman" w:eastAsia="Times New Roman" w:hAnsi="Times New Roman"/>
                <w:sz w:val="14"/>
                <w:szCs w:val="14"/>
                <w:color w:val="auto"/>
              </w:rPr>
              <w:t>Acquisition expense</w:t>
            </w: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(1,726)</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(1,726)</w:t>
            </w:r>
          </w:p>
        </w:tc>
        <w:tc>
          <w:tcPr>
            <w:tcW w:w="0" w:type="dxa"/>
            <w:vAlign w:val="bottom"/>
          </w:tcPr>
          <w:p>
            <w:pPr>
              <w:spacing w:after="0"/>
              <w:rPr>
                <w:sz w:val="1"/>
                <w:szCs w:val="1"/>
                <w:color w:val="auto"/>
              </w:rPr>
            </w:pPr>
          </w:p>
        </w:tc>
      </w:tr>
      <w:tr>
        <w:trPr>
          <w:trHeight w:val="20"/>
        </w:trPr>
        <w:tc>
          <w:tcPr>
            <w:tcW w:w="3540" w:type="dxa"/>
            <w:vAlign w:val="bottom"/>
            <w:vMerge w:val="restart"/>
          </w:tcPr>
          <w:p>
            <w:pPr>
              <w:ind w:left="220"/>
              <w:spacing w:after="0"/>
              <w:rPr>
                <w:sz w:val="20"/>
                <w:szCs w:val="20"/>
                <w:color w:val="auto"/>
              </w:rPr>
            </w:pPr>
            <w:r>
              <w:rPr>
                <w:rFonts w:ascii="Times New Roman" w:cs="Times New Roman" w:eastAsia="Times New Roman" w:hAnsi="Times New Roman"/>
                <w:sz w:val="14"/>
                <w:szCs w:val="14"/>
                <w:color w:val="auto"/>
              </w:rPr>
              <w:t>Pretax impact on earnings</w:t>
            </w:r>
          </w:p>
        </w:tc>
        <w:tc>
          <w:tcPr>
            <w:tcW w:w="7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3540" w:type="dxa"/>
            <w:vAlign w:val="bottom"/>
            <w:vMerge w:val="continue"/>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(6,705)</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(4,078)</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(9,443)</w:t>
            </w: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(20,226)</w:t>
            </w:r>
          </w:p>
        </w:tc>
        <w:tc>
          <w:tcPr>
            <w:tcW w:w="0" w:type="dxa"/>
            <w:vAlign w:val="bottom"/>
          </w:tcPr>
          <w:p>
            <w:pPr>
              <w:spacing w:after="0"/>
              <w:rPr>
                <w:sz w:val="1"/>
                <w:szCs w:val="1"/>
                <w:color w:val="auto"/>
              </w:rPr>
            </w:pPr>
          </w:p>
        </w:tc>
      </w:tr>
      <w:tr>
        <w:trPr>
          <w:trHeight w:val="203"/>
        </w:trPr>
        <w:tc>
          <w:tcPr>
            <w:tcW w:w="3540" w:type="dxa"/>
            <w:vAlign w:val="bottom"/>
          </w:tcPr>
          <w:p>
            <w:pPr>
              <w:spacing w:after="0"/>
              <w:rPr>
                <w:sz w:val="20"/>
                <w:szCs w:val="20"/>
                <w:color w:val="auto"/>
              </w:rPr>
            </w:pPr>
            <w:r>
              <w:rPr>
                <w:rFonts w:ascii="Times New Roman" w:cs="Times New Roman" w:eastAsia="Times New Roman" w:hAnsi="Times New Roman"/>
                <w:sz w:val="14"/>
                <w:szCs w:val="14"/>
                <w:color w:val="auto"/>
              </w:rPr>
              <w:t>Excess tax expenses on stock compensation</w:t>
            </w: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(521)</w:t>
            </w: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(521)</w:t>
            </w:r>
          </w:p>
        </w:tc>
        <w:tc>
          <w:tcPr>
            <w:tcW w:w="0" w:type="dxa"/>
            <w:vAlign w:val="bottom"/>
          </w:tcPr>
          <w:p>
            <w:pPr>
              <w:spacing w:after="0"/>
              <w:rPr>
                <w:sz w:val="1"/>
                <w:szCs w:val="1"/>
                <w:color w:val="auto"/>
              </w:rPr>
            </w:pPr>
          </w:p>
        </w:tc>
      </w:tr>
      <w:tr>
        <w:trPr>
          <w:trHeight w:val="185"/>
        </w:trPr>
        <w:tc>
          <w:tcPr>
            <w:tcW w:w="3540" w:type="dxa"/>
            <w:vAlign w:val="bottom"/>
          </w:tcPr>
          <w:p>
            <w:pPr>
              <w:spacing w:after="0"/>
              <w:rPr>
                <w:sz w:val="20"/>
                <w:szCs w:val="20"/>
                <w:color w:val="auto"/>
              </w:rPr>
            </w:pPr>
            <w:r>
              <w:rPr>
                <w:rFonts w:ascii="Times New Roman" w:cs="Times New Roman" w:eastAsia="Times New Roman" w:hAnsi="Times New Roman"/>
                <w:sz w:val="14"/>
                <w:szCs w:val="14"/>
                <w:color w:val="auto"/>
              </w:rPr>
              <w:t>Income tax benefit on the above</w:t>
            </w:r>
          </w:p>
        </w:tc>
        <w:tc>
          <w:tcPr>
            <w:tcW w:w="7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1,629</w:t>
            </w: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950</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1,091</w:t>
            </w: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3,670</w:t>
            </w:r>
          </w:p>
        </w:tc>
        <w:tc>
          <w:tcPr>
            <w:tcW w:w="0" w:type="dxa"/>
            <w:vAlign w:val="bottom"/>
          </w:tcPr>
          <w:p>
            <w:pPr>
              <w:spacing w:after="0"/>
              <w:rPr>
                <w:sz w:val="1"/>
                <w:szCs w:val="1"/>
                <w:color w:val="auto"/>
              </w:rPr>
            </w:pPr>
          </w:p>
        </w:tc>
      </w:tr>
      <w:tr>
        <w:trPr>
          <w:trHeight w:val="169"/>
        </w:trPr>
        <w:tc>
          <w:tcPr>
            <w:tcW w:w="35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After-tax impact on earnings</w:t>
            </w:r>
          </w:p>
        </w:tc>
        <w:tc>
          <w:tcPr>
            <w:tcW w:w="700" w:type="dxa"/>
            <w:vAlign w:val="bottom"/>
          </w:tcPr>
          <w:p>
            <w:pPr>
              <w:spacing w:after="0"/>
              <w:rPr>
                <w:sz w:val="14"/>
                <w:szCs w:val="14"/>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(5,076)</w:t>
            </w:r>
          </w:p>
        </w:tc>
        <w:tc>
          <w:tcPr>
            <w:tcW w:w="140" w:type="dxa"/>
            <w:vAlign w:val="bottom"/>
          </w:tcPr>
          <w:p>
            <w:pPr>
              <w:spacing w:after="0"/>
              <w:rPr>
                <w:sz w:val="14"/>
                <w:szCs w:val="14"/>
                <w:color w:val="auto"/>
              </w:rPr>
            </w:pP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(3,128)</w:t>
            </w:r>
          </w:p>
        </w:tc>
        <w:tc>
          <w:tcPr>
            <w:tcW w:w="6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(8,873)</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(17,077)</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gridSpan w:val="2"/>
            <w:shd w:val="clear" w:color="auto" w:fill="000000"/>
          </w:tcPr>
          <w:p>
            <w:pPr>
              <w:spacing w:after="0"/>
              <w:rPr>
                <w:sz w:val="2"/>
                <w:szCs w:val="2"/>
                <w:color w:val="auto"/>
              </w:rPr>
            </w:pPr>
          </w:p>
        </w:tc>
        <w:tc>
          <w:tcPr>
            <w:tcW w:w="140" w:type="dxa"/>
            <w:vAlign w:val="bottom"/>
            <w:gridSpan w:val="2"/>
          </w:tcPr>
          <w:p>
            <w:pPr>
              <w:spacing w:after="0"/>
              <w:rPr>
                <w:sz w:val="2"/>
                <w:szCs w:val="2"/>
                <w:color w:val="auto"/>
              </w:rPr>
            </w:pPr>
          </w:p>
        </w:tc>
        <w:tc>
          <w:tcPr>
            <w:tcW w:w="1060" w:type="dxa"/>
            <w:vAlign w:val="bottom"/>
            <w:gridSpan w:val="2"/>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91"/>
        </w:trPr>
        <w:tc>
          <w:tcPr>
            <w:tcW w:w="3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8"/>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 2026</w:t>
            </w: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35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VITAS</w:t>
            </w: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99"/>
              </w:rPr>
              <w:t>Roto-Rooter</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99"/>
              </w:rPr>
              <w:t>Consolidated</w:t>
            </w:r>
          </w:p>
        </w:tc>
        <w:tc>
          <w:tcPr>
            <w:tcW w:w="0" w:type="dxa"/>
            <w:vAlign w:val="bottom"/>
          </w:tcPr>
          <w:p>
            <w:pPr>
              <w:spacing w:after="0"/>
              <w:rPr>
                <w:sz w:val="1"/>
                <w:szCs w:val="1"/>
                <w:color w:val="auto"/>
              </w:rPr>
            </w:pPr>
          </w:p>
        </w:tc>
      </w:tr>
      <w:tr>
        <w:trPr>
          <w:trHeight w:val="402"/>
        </w:trPr>
        <w:tc>
          <w:tcPr>
            <w:tcW w:w="3540" w:type="dxa"/>
            <w:vAlign w:val="bottom"/>
          </w:tcPr>
          <w:p>
            <w:pPr>
              <w:spacing w:after="0"/>
              <w:rPr>
                <w:sz w:val="20"/>
                <w:szCs w:val="20"/>
                <w:color w:val="auto"/>
              </w:rPr>
            </w:pPr>
            <w:r>
              <w:rPr>
                <w:rFonts w:ascii="Times New Roman" w:cs="Times New Roman" w:eastAsia="Times New Roman" w:hAnsi="Times New Roman"/>
                <w:sz w:val="14"/>
                <w:szCs w:val="14"/>
                <w:color w:val="auto"/>
              </w:rPr>
              <w:t>Stock option expense</w:t>
            </w:r>
          </w:p>
        </w:tc>
        <w:tc>
          <w:tcPr>
            <w:tcW w:w="9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tcPr>
          <w:p>
            <w:pPr>
              <w:jc w:val="right"/>
              <w:ind w:right="23"/>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(24,285)</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(24,285)</w:t>
            </w:r>
          </w:p>
        </w:tc>
        <w:tc>
          <w:tcPr>
            <w:tcW w:w="0" w:type="dxa"/>
            <w:vAlign w:val="bottom"/>
          </w:tcPr>
          <w:p>
            <w:pPr>
              <w:spacing w:after="0"/>
              <w:rPr>
                <w:sz w:val="1"/>
                <w:szCs w:val="1"/>
                <w:color w:val="auto"/>
              </w:rPr>
            </w:pPr>
          </w:p>
        </w:tc>
      </w:tr>
      <w:tr>
        <w:trPr>
          <w:trHeight w:val="203"/>
        </w:trPr>
        <w:tc>
          <w:tcPr>
            <w:tcW w:w="3540" w:type="dxa"/>
            <w:vAlign w:val="bottom"/>
          </w:tcPr>
          <w:p>
            <w:pPr>
              <w:spacing w:after="0"/>
              <w:rPr>
                <w:sz w:val="20"/>
                <w:szCs w:val="20"/>
                <w:color w:val="auto"/>
              </w:rPr>
            </w:pPr>
            <w:r>
              <w:rPr>
                <w:rFonts w:ascii="Times New Roman" w:cs="Times New Roman" w:eastAsia="Times New Roman" w:hAnsi="Times New Roman"/>
                <w:sz w:val="14"/>
                <w:szCs w:val="14"/>
                <w:color w:val="auto"/>
              </w:rPr>
              <w:t>Legal settlements</w:t>
            </w: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(7,253)</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(308)</w:t>
            </w: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(7,561)</w:t>
            </w:r>
          </w:p>
        </w:tc>
        <w:tc>
          <w:tcPr>
            <w:tcW w:w="0" w:type="dxa"/>
            <w:vAlign w:val="bottom"/>
          </w:tcPr>
          <w:p>
            <w:pPr>
              <w:spacing w:after="0"/>
              <w:rPr>
                <w:sz w:val="1"/>
                <w:szCs w:val="1"/>
                <w:color w:val="auto"/>
              </w:rPr>
            </w:pPr>
          </w:p>
        </w:tc>
      </w:tr>
      <w:tr>
        <w:trPr>
          <w:trHeight w:val="203"/>
        </w:trPr>
        <w:tc>
          <w:tcPr>
            <w:tcW w:w="3540" w:type="dxa"/>
            <w:vAlign w:val="bottom"/>
          </w:tcPr>
          <w:p>
            <w:pPr>
              <w:spacing w:after="0"/>
              <w:rPr>
                <w:sz w:val="20"/>
                <w:szCs w:val="20"/>
                <w:color w:val="auto"/>
              </w:rPr>
            </w:pPr>
            <w:r>
              <w:rPr>
                <w:rFonts w:ascii="Times New Roman" w:cs="Times New Roman" w:eastAsia="Times New Roman" w:hAnsi="Times New Roman"/>
                <w:sz w:val="14"/>
                <w:szCs w:val="14"/>
                <w:color w:val="auto"/>
              </w:rPr>
              <w:t>Amortization of reacquired franchise agreements</w:t>
            </w: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(7,056)</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(7,056)</w:t>
            </w:r>
          </w:p>
        </w:tc>
        <w:tc>
          <w:tcPr>
            <w:tcW w:w="0" w:type="dxa"/>
            <w:vAlign w:val="bottom"/>
          </w:tcPr>
          <w:p>
            <w:pPr>
              <w:spacing w:after="0"/>
              <w:rPr>
                <w:sz w:val="1"/>
                <w:szCs w:val="1"/>
                <w:color w:val="auto"/>
              </w:rPr>
            </w:pPr>
          </w:p>
        </w:tc>
      </w:tr>
      <w:tr>
        <w:trPr>
          <w:trHeight w:val="203"/>
        </w:trPr>
        <w:tc>
          <w:tcPr>
            <w:tcW w:w="3540" w:type="dxa"/>
            <w:vAlign w:val="bottom"/>
          </w:tcPr>
          <w:p>
            <w:pPr>
              <w:spacing w:after="0"/>
              <w:rPr>
                <w:sz w:val="20"/>
                <w:szCs w:val="20"/>
                <w:color w:val="auto"/>
              </w:rPr>
            </w:pPr>
            <w:r>
              <w:rPr>
                <w:rFonts w:ascii="Times New Roman" w:cs="Times New Roman" w:eastAsia="Times New Roman" w:hAnsi="Times New Roman"/>
                <w:sz w:val="14"/>
                <w:szCs w:val="14"/>
                <w:color w:val="auto"/>
              </w:rPr>
              <w:t>Long-term incentive compensation</w:t>
            </w: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(6,904)</w:t>
            </w: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(6,904)</w:t>
            </w:r>
          </w:p>
        </w:tc>
        <w:tc>
          <w:tcPr>
            <w:tcW w:w="0" w:type="dxa"/>
            <w:vAlign w:val="bottom"/>
          </w:tcPr>
          <w:p>
            <w:pPr>
              <w:spacing w:after="0"/>
              <w:rPr>
                <w:sz w:val="1"/>
                <w:szCs w:val="1"/>
                <w:color w:val="auto"/>
              </w:rPr>
            </w:pPr>
          </w:p>
        </w:tc>
      </w:tr>
      <w:tr>
        <w:trPr>
          <w:trHeight w:val="185"/>
        </w:trPr>
        <w:tc>
          <w:tcPr>
            <w:tcW w:w="3540" w:type="dxa"/>
            <w:vAlign w:val="bottom"/>
          </w:tcPr>
          <w:p>
            <w:pPr>
              <w:spacing w:after="0"/>
              <w:rPr>
                <w:sz w:val="20"/>
                <w:szCs w:val="20"/>
                <w:color w:val="auto"/>
              </w:rPr>
            </w:pPr>
            <w:r>
              <w:rPr>
                <w:rFonts w:ascii="Times New Roman" w:cs="Times New Roman" w:eastAsia="Times New Roman" w:hAnsi="Times New Roman"/>
                <w:sz w:val="14"/>
                <w:szCs w:val="14"/>
                <w:color w:val="auto"/>
              </w:rPr>
              <w:t>Acquisition expense</w:t>
            </w: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(1,953)</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(1,961)</w:t>
            </w:r>
          </w:p>
        </w:tc>
        <w:tc>
          <w:tcPr>
            <w:tcW w:w="0" w:type="dxa"/>
            <w:vAlign w:val="bottom"/>
          </w:tcPr>
          <w:p>
            <w:pPr>
              <w:spacing w:after="0"/>
              <w:rPr>
                <w:sz w:val="1"/>
                <w:szCs w:val="1"/>
                <w:color w:val="auto"/>
              </w:rPr>
            </w:pPr>
          </w:p>
        </w:tc>
      </w:tr>
      <w:tr>
        <w:trPr>
          <w:trHeight w:val="20"/>
        </w:trPr>
        <w:tc>
          <w:tcPr>
            <w:tcW w:w="3540" w:type="dxa"/>
            <w:vAlign w:val="bottom"/>
            <w:vMerge w:val="restart"/>
          </w:tcPr>
          <w:p>
            <w:pPr>
              <w:ind w:left="220"/>
              <w:spacing w:after="0"/>
              <w:rPr>
                <w:sz w:val="20"/>
                <w:szCs w:val="20"/>
                <w:color w:val="auto"/>
              </w:rPr>
            </w:pPr>
            <w:r>
              <w:rPr>
                <w:rFonts w:ascii="Times New Roman" w:cs="Times New Roman" w:eastAsia="Times New Roman" w:hAnsi="Times New Roman"/>
                <w:sz w:val="14"/>
                <w:szCs w:val="14"/>
                <w:color w:val="auto"/>
              </w:rPr>
              <w:t>Pretax impact on earnings</w:t>
            </w:r>
          </w:p>
        </w:tc>
        <w:tc>
          <w:tcPr>
            <w:tcW w:w="7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3540" w:type="dxa"/>
            <w:vAlign w:val="bottom"/>
            <w:vMerge w:val="continue"/>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(7,261)</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(9,009)</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(31,497)</w:t>
            </w: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(47,767)</w:t>
            </w:r>
          </w:p>
        </w:tc>
        <w:tc>
          <w:tcPr>
            <w:tcW w:w="0" w:type="dxa"/>
            <w:vAlign w:val="bottom"/>
          </w:tcPr>
          <w:p>
            <w:pPr>
              <w:spacing w:after="0"/>
              <w:rPr>
                <w:sz w:val="1"/>
                <w:szCs w:val="1"/>
                <w:color w:val="auto"/>
              </w:rPr>
            </w:pPr>
          </w:p>
        </w:tc>
      </w:tr>
      <w:tr>
        <w:trPr>
          <w:trHeight w:val="203"/>
        </w:trPr>
        <w:tc>
          <w:tcPr>
            <w:tcW w:w="3540" w:type="dxa"/>
            <w:vAlign w:val="bottom"/>
          </w:tcPr>
          <w:p>
            <w:pPr>
              <w:spacing w:after="0"/>
              <w:rPr>
                <w:sz w:val="20"/>
                <w:szCs w:val="20"/>
                <w:color w:val="auto"/>
              </w:rPr>
            </w:pPr>
            <w:r>
              <w:rPr>
                <w:rFonts w:ascii="Times New Roman" w:cs="Times New Roman" w:eastAsia="Times New Roman" w:hAnsi="Times New Roman"/>
                <w:sz w:val="14"/>
                <w:szCs w:val="14"/>
                <w:color w:val="auto"/>
              </w:rPr>
              <w:t>Excess tax expenses on stock compensation</w:t>
            </w: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(1,022)</w:t>
            </w: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(1,022)</w:t>
            </w:r>
          </w:p>
        </w:tc>
        <w:tc>
          <w:tcPr>
            <w:tcW w:w="0" w:type="dxa"/>
            <w:vAlign w:val="bottom"/>
          </w:tcPr>
          <w:p>
            <w:pPr>
              <w:spacing w:after="0"/>
              <w:rPr>
                <w:sz w:val="1"/>
                <w:szCs w:val="1"/>
                <w:color w:val="auto"/>
              </w:rPr>
            </w:pPr>
          </w:p>
        </w:tc>
      </w:tr>
      <w:tr>
        <w:trPr>
          <w:trHeight w:val="185"/>
        </w:trPr>
        <w:tc>
          <w:tcPr>
            <w:tcW w:w="3540" w:type="dxa"/>
            <w:vAlign w:val="bottom"/>
          </w:tcPr>
          <w:p>
            <w:pPr>
              <w:spacing w:after="0"/>
              <w:rPr>
                <w:sz w:val="20"/>
                <w:szCs w:val="20"/>
                <w:color w:val="auto"/>
              </w:rPr>
            </w:pPr>
            <w:r>
              <w:rPr>
                <w:rFonts w:ascii="Times New Roman" w:cs="Times New Roman" w:eastAsia="Times New Roman" w:hAnsi="Times New Roman"/>
                <w:sz w:val="14"/>
                <w:szCs w:val="14"/>
                <w:color w:val="auto"/>
              </w:rPr>
              <w:t>Income tax benefit on the above</w:t>
            </w:r>
          </w:p>
        </w:tc>
        <w:tc>
          <w:tcPr>
            <w:tcW w:w="7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1,764</w:t>
            </w: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2,100</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4,432</w:t>
            </w: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8,296</w:t>
            </w:r>
          </w:p>
        </w:tc>
        <w:tc>
          <w:tcPr>
            <w:tcW w:w="0" w:type="dxa"/>
            <w:vAlign w:val="bottom"/>
          </w:tcPr>
          <w:p>
            <w:pPr>
              <w:spacing w:after="0"/>
              <w:rPr>
                <w:sz w:val="1"/>
                <w:szCs w:val="1"/>
                <w:color w:val="auto"/>
              </w:rPr>
            </w:pPr>
          </w:p>
        </w:tc>
      </w:tr>
      <w:tr>
        <w:trPr>
          <w:trHeight w:val="169"/>
        </w:trPr>
        <w:tc>
          <w:tcPr>
            <w:tcW w:w="35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After-tax impact on earnings</w:t>
            </w:r>
          </w:p>
        </w:tc>
        <w:tc>
          <w:tcPr>
            <w:tcW w:w="700" w:type="dxa"/>
            <w:vAlign w:val="bottom"/>
          </w:tcPr>
          <w:p>
            <w:pPr>
              <w:spacing w:after="0"/>
              <w:rPr>
                <w:sz w:val="14"/>
                <w:szCs w:val="14"/>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(5,497)</w:t>
            </w:r>
          </w:p>
        </w:tc>
        <w:tc>
          <w:tcPr>
            <w:tcW w:w="140" w:type="dxa"/>
            <w:vAlign w:val="bottom"/>
          </w:tcPr>
          <w:p>
            <w:pPr>
              <w:spacing w:after="0"/>
              <w:rPr>
                <w:sz w:val="14"/>
                <w:szCs w:val="14"/>
                <w:color w:val="auto"/>
              </w:rPr>
            </w:pP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(6,909)</w:t>
            </w:r>
          </w:p>
        </w:tc>
        <w:tc>
          <w:tcPr>
            <w:tcW w:w="6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(28,087)</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(40,493)</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240" w:right="1019" w:hanging="206"/>
        <w:spacing w:after="0" w:line="209" w:lineRule="auto"/>
        <w:tabs>
          <w:tab w:leader="none" w:pos="240" w:val="left"/>
        </w:tabs>
        <w:numPr>
          <w:ilvl w:val="0"/>
          <w:numId w:val="8"/>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3"/>
          <w:szCs w:val="13"/>
          <w:color w:val="auto"/>
        </w:rPr>
        <w:t>Included in the results of operations for 2025 are the following significant credits/(charges) which may not be indicative of ongoing operations (in thousands):</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0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9"/>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Three Months Ended September 30, 2025</w:t>
            </w:r>
          </w:p>
        </w:tc>
        <w:tc>
          <w:tcPr>
            <w:tcW w:w="98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0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VITAS</w:t>
            </w: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Roto-Rooter</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2"/>
        </w:trPr>
        <w:tc>
          <w:tcPr>
            <w:tcW w:w="400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Stock option expense</w:t>
            </w:r>
          </w:p>
        </w:tc>
        <w:tc>
          <w:tcPr>
            <w:tcW w:w="9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(6,067)</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(6,067)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00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Legal settlements</w:t>
            </w: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Amortization of reacquired franchise agreements</w:t>
            </w: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(2,352)</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Long-term incentive compensation</w:t>
            </w: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400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Other</w:t>
            </w: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(2,665)</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00" w:type="dxa"/>
            <w:vAlign w:val="bottom"/>
            <w:vMerge w:val="restart"/>
          </w:tcPr>
          <w:p>
            <w:pPr>
              <w:ind w:left="680"/>
              <w:spacing w:after="0"/>
              <w:rPr>
                <w:sz w:val="20"/>
                <w:szCs w:val="20"/>
                <w:color w:val="auto"/>
              </w:rPr>
            </w:pPr>
            <w:r>
              <w:rPr>
                <w:rFonts w:ascii="Times New Roman" w:cs="Times New Roman" w:eastAsia="Times New Roman" w:hAnsi="Times New Roman"/>
                <w:sz w:val="14"/>
                <w:szCs w:val="14"/>
                <w:color w:val="auto"/>
              </w:rPr>
              <w:t>Pretax impact on earnings</w:t>
            </w:r>
          </w:p>
        </w:tc>
        <w:tc>
          <w:tcPr>
            <w:tcW w:w="7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000" w:type="dxa"/>
            <w:vAlign w:val="bottom"/>
            <w:vMerge w:val="continue"/>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(2,352)</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(8,516)</w:t>
            </w: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(13,718)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400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Income tax benefit on the above</w:t>
            </w:r>
          </w:p>
        </w:tc>
        <w:tc>
          <w:tcPr>
            <w:tcW w:w="7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698</w:t>
            </w:r>
          </w:p>
        </w:tc>
        <w:tc>
          <w:tcPr>
            <w:tcW w:w="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546</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805</w:t>
            </w:r>
          </w:p>
        </w:tc>
        <w:tc>
          <w:tcPr>
            <w:tcW w:w="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2,049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00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After-tax impact on earnings</w:t>
            </w:r>
          </w:p>
        </w:tc>
        <w:tc>
          <w:tcPr>
            <w:tcW w:w="700" w:type="dxa"/>
            <w:vAlign w:val="bottom"/>
          </w:tcPr>
          <w:p>
            <w:pPr>
              <w:spacing w:after="0"/>
              <w:rPr>
                <w:sz w:val="14"/>
                <w:szCs w:val="14"/>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(2,152)</w:t>
            </w:r>
          </w:p>
        </w:tc>
        <w:tc>
          <w:tcPr>
            <w:tcW w:w="14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(1,806)</w:t>
            </w:r>
          </w:p>
        </w:tc>
        <w:tc>
          <w:tcPr>
            <w:tcW w:w="6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(7,711)</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(11,669)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gridSpan w:val="2"/>
            <w:shd w:val="clear" w:color="auto" w:fill="000000"/>
          </w:tcPr>
          <w:p>
            <w:pPr>
              <w:spacing w:after="0"/>
              <w:rPr>
                <w:sz w:val="2"/>
                <w:szCs w:val="2"/>
                <w:color w:val="auto"/>
              </w:rPr>
            </w:pPr>
          </w:p>
        </w:tc>
        <w:tc>
          <w:tcPr>
            <w:tcW w:w="140" w:type="dxa"/>
            <w:vAlign w:val="bottom"/>
            <w:gridSpan w:val="2"/>
          </w:tcPr>
          <w:p>
            <w:pPr>
              <w:spacing w:after="0"/>
              <w:rPr>
                <w:sz w:val="2"/>
                <w:szCs w:val="2"/>
                <w:color w:val="auto"/>
              </w:rPr>
            </w:pPr>
          </w:p>
        </w:tc>
        <w:tc>
          <w:tcPr>
            <w:tcW w:w="1060" w:type="dxa"/>
            <w:vAlign w:val="bottom"/>
            <w:gridSpan w:val="2"/>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92"/>
        </w:trPr>
        <w:tc>
          <w:tcPr>
            <w:tcW w:w="4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8"/>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 2025</w:t>
            </w: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40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VITAS</w:t>
            </w: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Roto-Rooter</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2"/>
        </w:trPr>
        <w:tc>
          <w:tcPr>
            <w:tcW w:w="400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Stock option expense</w:t>
            </w:r>
          </w:p>
        </w:tc>
        <w:tc>
          <w:tcPr>
            <w:tcW w:w="9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(24,374)</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(24,374)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00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Amortization of reacquired franchise agreements</w:t>
            </w: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(7,056)</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(7,056)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Long-term incentive compensation</w:t>
            </w: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(3,294)</w:t>
            </w: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Legal settlements</w:t>
            </w: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400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Other</w:t>
            </w: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(2,665)</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00" w:type="dxa"/>
            <w:vAlign w:val="bottom"/>
            <w:vMerge w:val="restart"/>
          </w:tcPr>
          <w:p>
            <w:pPr>
              <w:ind w:left="680"/>
              <w:spacing w:after="0"/>
              <w:rPr>
                <w:sz w:val="20"/>
                <w:szCs w:val="20"/>
                <w:color w:val="auto"/>
              </w:rPr>
            </w:pPr>
            <w:r>
              <w:rPr>
                <w:rFonts w:ascii="Times New Roman" w:cs="Times New Roman" w:eastAsia="Times New Roman" w:hAnsi="Times New Roman"/>
                <w:sz w:val="14"/>
                <w:szCs w:val="14"/>
                <w:color w:val="auto"/>
              </w:rPr>
              <w:t>Pretax impact on earnings</w:t>
            </w:r>
          </w:p>
        </w:tc>
        <w:tc>
          <w:tcPr>
            <w:tcW w:w="7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000" w:type="dxa"/>
            <w:vAlign w:val="bottom"/>
            <w:vMerge w:val="continue"/>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(7,056)</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(30,333)</w:t>
            </w: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(40,239)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Excess tax benefits on stock compensation</w:t>
            </w: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513</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400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Income tax benefit on the above</w:t>
            </w:r>
          </w:p>
        </w:tc>
        <w:tc>
          <w:tcPr>
            <w:tcW w:w="7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698</w:t>
            </w:r>
          </w:p>
        </w:tc>
        <w:tc>
          <w:tcPr>
            <w:tcW w:w="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1,637</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4,177</w:t>
            </w:r>
          </w:p>
        </w:tc>
        <w:tc>
          <w:tcPr>
            <w:tcW w:w="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6,512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00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After-tax impact on earnings</w:t>
            </w:r>
          </w:p>
        </w:tc>
        <w:tc>
          <w:tcPr>
            <w:tcW w:w="700" w:type="dxa"/>
            <w:vAlign w:val="bottom"/>
          </w:tcPr>
          <w:p>
            <w:pPr>
              <w:spacing w:after="0"/>
              <w:rPr>
                <w:sz w:val="15"/>
                <w:szCs w:val="15"/>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(2,152)</w:t>
            </w:r>
          </w:p>
        </w:tc>
        <w:tc>
          <w:tcPr>
            <w:tcW w:w="14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(5,419)</w:t>
            </w:r>
          </w:p>
        </w:tc>
        <w:tc>
          <w:tcPr>
            <w:tcW w:w="6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(25,643)</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(33,214)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07"/>
        </w:trPr>
        <w:tc>
          <w:tcPr>
            <w:tcW w:w="40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00" w:type="dxa"/>
            <w:vAlign w:val="bottom"/>
            <w:tcBorders>
              <w:top w:val="single" w:sz="8" w:color="auto"/>
              <w:bottom w:val="single" w:sz="8" w:color="9A9A9A"/>
            </w:tcBorders>
          </w:tcPr>
          <w:p>
            <w:pPr>
              <w:spacing w:after="0"/>
              <w:rPr>
                <w:sz w:val="24"/>
                <w:szCs w:val="24"/>
                <w:color w:val="auto"/>
              </w:rPr>
            </w:pPr>
          </w:p>
        </w:tc>
        <w:tc>
          <w:tcPr>
            <w:tcW w:w="860" w:type="dxa"/>
            <w:vAlign w:val="bottom"/>
            <w:tcBorders>
              <w:top w:val="single" w:sz="8" w:color="auto"/>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top w:val="single" w:sz="8" w:color="auto"/>
              <w:bottom w:val="single" w:sz="8" w:color="9A9A9A"/>
            </w:tcBorders>
          </w:tcPr>
          <w:p>
            <w:pPr>
              <w:spacing w:after="0"/>
              <w:rPr>
                <w:sz w:val="24"/>
                <w:szCs w:val="24"/>
                <w:color w:val="auto"/>
              </w:rPr>
            </w:pPr>
          </w:p>
        </w:tc>
        <w:tc>
          <w:tcPr>
            <w:tcW w:w="940" w:type="dxa"/>
            <w:vAlign w:val="bottom"/>
            <w:tcBorders>
              <w:top w:val="single" w:sz="8" w:color="auto"/>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40" w:type="dxa"/>
            <w:vAlign w:val="bottom"/>
            <w:tcBorders>
              <w:top w:val="single" w:sz="8" w:color="auto"/>
              <w:bottom w:val="single" w:sz="8" w:color="9A9A9A"/>
            </w:tcBorders>
          </w:tcPr>
          <w:p>
            <w:pPr>
              <w:spacing w:after="0"/>
              <w:rPr>
                <w:sz w:val="24"/>
                <w:szCs w:val="24"/>
                <w:color w:val="auto"/>
              </w:rPr>
            </w:pPr>
          </w:p>
        </w:tc>
        <w:tc>
          <w:tcPr>
            <w:tcW w:w="920" w:type="dxa"/>
            <w:vAlign w:val="bottom"/>
            <w:tcBorders>
              <w:top w:val="single" w:sz="8" w:color="auto"/>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top w:val="single" w:sz="8" w:color="auto"/>
              <w:bottom w:val="single" w:sz="8" w:color="9A9A9A"/>
            </w:tcBorders>
          </w:tcPr>
          <w:p>
            <w:pPr>
              <w:spacing w:after="0"/>
              <w:rPr>
                <w:sz w:val="24"/>
                <w:szCs w:val="24"/>
                <w:color w:val="auto"/>
              </w:rPr>
            </w:pPr>
          </w:p>
        </w:tc>
        <w:tc>
          <w:tcPr>
            <w:tcW w:w="980" w:type="dxa"/>
            <w:vAlign w:val="bottom"/>
            <w:tcBorders>
              <w:top w:val="single" w:sz="8" w:color="auto"/>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00" w:type="dxa"/>
            <w:vAlign w:val="bottom"/>
            <w:tcBorders>
              <w:bottom w:val="single" w:sz="8" w:color="EEEEEE"/>
            </w:tcBorders>
          </w:tcPr>
          <w:p>
            <w:pPr>
              <w:spacing w:after="0" w:line="20" w:lineRule="exact"/>
              <w:rPr>
                <w:sz w:val="1"/>
                <w:szCs w:val="1"/>
                <w:color w:val="auto"/>
              </w:rPr>
            </w:pPr>
          </w:p>
        </w:tc>
        <w:tc>
          <w:tcPr>
            <w:tcW w:w="70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86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94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92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98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5951220</wp:posOffset>
            </wp:positionH>
            <wp:positionV relativeFrom="paragraph">
              <wp:posOffset>-38100</wp:posOffset>
            </wp:positionV>
            <wp:extent cx="34290" cy="514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-38100</wp:posOffset>
            </wp:positionV>
            <wp:extent cx="33655" cy="514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51435"/>
                    </a:xfrm>
                    <a:prstGeom prst="rect">
                      <a:avLst/>
                    </a:prstGeom>
                    <a:noFill/>
                  </pic:spPr>
                </pic:pic>
              </a:graphicData>
            </a:graphic>
          </wp:anchor>
        </w:drawing>
      </w:r>
    </w:p>
    <w:p>
      <w:pPr>
        <w:sectPr>
          <w:pgSz w:w="11900" w:h="16838" w:orient="portrait"/>
          <w:cols w:equalWidth="0" w:num="1">
            <w:col w:w="9479"/>
          </w:cols>
          <w:pgMar w:left="980" w:top="533" w:right="1440" w:bottom="1440" w:gutter="0" w:footer="0" w:header="0"/>
        </w:sectPr>
      </w:pPr>
    </w:p>
    <w:bookmarkStart w:id="19" w:name="page20"/>
    <w:bookmarkEnd w:id="19"/>
    <w:p>
      <w:pPr>
        <w:spacing w:after="0"/>
        <w:tabs>
          <w:tab w:leader="none" w:pos="8460" w:val="left"/>
        </w:tabs>
        <w:rPr>
          <w:sz w:val="20"/>
          <w:szCs w:val="20"/>
          <w:color w:val="auto"/>
        </w:rPr>
      </w:pPr>
      <w:r>
        <w:rPr>
          <w:rFonts w:ascii="Times New Roman" w:cs="Times New Roman" w:eastAsia="Times New Roman" w:hAnsi="Times New Roman"/>
          <w:sz w:val="14"/>
          <w:szCs w:val="14"/>
          <w:color w:val="auto"/>
        </w:rPr>
        <w:t>(c)</w:t>
      </w:r>
      <w:r>
        <w:rPr>
          <w:sz w:val="20"/>
          <w:szCs w:val="20"/>
          <w:color w:val="auto"/>
        </w:rPr>
        <w:tab/>
      </w:r>
      <w:r>
        <w:rPr>
          <w:rFonts w:ascii="Times New Roman" w:cs="Times New Roman" w:eastAsia="Times New Roman" w:hAnsi="Times New Roman"/>
          <w:sz w:val="14"/>
          <w:szCs w:val="14"/>
          <w:color w:val="auto"/>
        </w:rPr>
        <w:t>VITAS has 14</w:t>
      </w:r>
    </w:p>
    <w:p>
      <w:pPr>
        <w:ind w:left="8480"/>
        <w:spacing w:after="0" w:line="206" w:lineRule="auto"/>
        <w:rPr>
          <w:sz w:val="20"/>
          <w:szCs w:val="20"/>
          <w:color w:val="auto"/>
        </w:rPr>
      </w:pPr>
      <w:r>
        <w:rPr>
          <w:rFonts w:ascii="Times New Roman" w:cs="Times New Roman" w:eastAsia="Times New Roman" w:hAnsi="Times New Roman"/>
          <w:sz w:val="14"/>
          <w:szCs w:val="14"/>
          <w:color w:val="auto"/>
        </w:rPr>
        <w:t>large (greater</w:t>
      </w:r>
    </w:p>
    <w:p>
      <w:pPr>
        <w:ind w:left="8480"/>
        <w:spacing w:after="0" w:line="221" w:lineRule="auto"/>
        <w:rPr>
          <w:sz w:val="20"/>
          <w:szCs w:val="20"/>
          <w:color w:val="auto"/>
        </w:rPr>
      </w:pPr>
      <w:r>
        <w:rPr>
          <w:rFonts w:ascii="Times New Roman" w:cs="Times New Roman" w:eastAsia="Times New Roman" w:hAnsi="Times New Roman"/>
          <w:sz w:val="14"/>
          <w:szCs w:val="14"/>
          <w:color w:val="auto"/>
        </w:rPr>
        <w:t>than 450</w:t>
      </w:r>
    </w:p>
    <w:p>
      <w:pPr>
        <w:ind w:left="8480"/>
        <w:spacing w:after="0" w:line="221" w:lineRule="auto"/>
        <w:rPr>
          <w:sz w:val="20"/>
          <w:szCs w:val="20"/>
          <w:color w:val="auto"/>
        </w:rPr>
      </w:pPr>
      <w:r>
        <w:rPr>
          <w:rFonts w:ascii="Times New Roman" w:cs="Times New Roman" w:eastAsia="Times New Roman" w:hAnsi="Times New Roman"/>
          <w:sz w:val="14"/>
          <w:szCs w:val="14"/>
          <w:color w:val="auto"/>
        </w:rPr>
        <w:t>ADC), 25</w:t>
      </w:r>
    </w:p>
    <w:p>
      <w:pPr>
        <w:ind w:left="8480"/>
        <w:spacing w:after="0" w:line="202" w:lineRule="auto"/>
        <w:rPr>
          <w:sz w:val="20"/>
          <w:szCs w:val="20"/>
          <w:color w:val="auto"/>
        </w:rPr>
      </w:pPr>
      <w:r>
        <w:rPr>
          <w:rFonts w:ascii="Times New Roman" w:cs="Times New Roman" w:eastAsia="Times New Roman" w:hAnsi="Times New Roman"/>
          <w:sz w:val="14"/>
          <w:szCs w:val="14"/>
          <w:color w:val="auto"/>
        </w:rPr>
        <w:t>medium</w:t>
      </w:r>
    </w:p>
    <w:p>
      <w:pPr>
        <w:ind w:left="8480"/>
        <w:spacing w:after="0" w:line="221" w:lineRule="auto"/>
        <w:rPr>
          <w:sz w:val="20"/>
          <w:szCs w:val="20"/>
          <w:color w:val="auto"/>
        </w:rPr>
      </w:pPr>
      <w:r>
        <w:rPr>
          <w:rFonts w:ascii="Times New Roman" w:cs="Times New Roman" w:eastAsia="Times New Roman" w:hAnsi="Times New Roman"/>
          <w:sz w:val="14"/>
          <w:szCs w:val="14"/>
          <w:color w:val="auto"/>
        </w:rPr>
        <w:t>(greater than</w:t>
      </w:r>
    </w:p>
    <w:p>
      <w:pPr>
        <w:ind w:left="8480"/>
        <w:spacing w:after="0" w:line="221" w:lineRule="auto"/>
        <w:rPr>
          <w:sz w:val="20"/>
          <w:szCs w:val="20"/>
          <w:color w:val="auto"/>
        </w:rPr>
      </w:pPr>
      <w:r>
        <w:rPr>
          <w:rFonts w:ascii="Times New Roman" w:cs="Times New Roman" w:eastAsia="Times New Roman" w:hAnsi="Times New Roman"/>
          <w:sz w:val="14"/>
          <w:szCs w:val="14"/>
          <w:color w:val="auto"/>
        </w:rPr>
        <w:t>200 but less</w:t>
      </w:r>
    </w:p>
    <w:p>
      <w:pPr>
        <w:ind w:left="8480"/>
        <w:spacing w:after="0" w:line="202" w:lineRule="auto"/>
        <w:rPr>
          <w:sz w:val="20"/>
          <w:szCs w:val="20"/>
          <w:color w:val="auto"/>
        </w:rPr>
      </w:pPr>
      <w:r>
        <w:rPr>
          <w:rFonts w:ascii="Times New Roman" w:cs="Times New Roman" w:eastAsia="Times New Roman" w:hAnsi="Times New Roman"/>
          <w:sz w:val="14"/>
          <w:szCs w:val="14"/>
          <w:color w:val="auto"/>
        </w:rPr>
        <w:t>than 450</w:t>
      </w:r>
    </w:p>
    <w:p>
      <w:pPr>
        <w:ind w:left="8480"/>
        <w:spacing w:after="0" w:line="221" w:lineRule="auto"/>
        <w:rPr>
          <w:sz w:val="20"/>
          <w:szCs w:val="20"/>
          <w:color w:val="auto"/>
        </w:rPr>
      </w:pPr>
      <w:r>
        <w:rPr>
          <w:rFonts w:ascii="Times New Roman" w:cs="Times New Roman" w:eastAsia="Times New Roman" w:hAnsi="Times New Roman"/>
          <w:sz w:val="14"/>
          <w:szCs w:val="14"/>
          <w:color w:val="auto"/>
        </w:rPr>
        <w:t>ADC) and 21</w:t>
      </w:r>
    </w:p>
    <w:p>
      <w:pPr>
        <w:ind w:left="8480"/>
        <w:spacing w:after="0" w:line="222" w:lineRule="auto"/>
        <w:rPr>
          <w:sz w:val="20"/>
          <w:szCs w:val="20"/>
          <w:color w:val="auto"/>
        </w:rPr>
      </w:pPr>
      <w:r>
        <w:rPr>
          <w:rFonts w:ascii="Times New Roman" w:cs="Times New Roman" w:eastAsia="Times New Roman" w:hAnsi="Times New Roman"/>
          <w:sz w:val="14"/>
          <w:szCs w:val="14"/>
          <w:color w:val="auto"/>
        </w:rPr>
        <w:t>small (less</w:t>
      </w:r>
    </w:p>
    <w:p>
      <w:pPr>
        <w:ind w:left="8480"/>
        <w:spacing w:after="0" w:line="201" w:lineRule="auto"/>
        <w:rPr>
          <w:sz w:val="20"/>
          <w:szCs w:val="20"/>
          <w:color w:val="auto"/>
        </w:rPr>
      </w:pPr>
      <w:r>
        <w:rPr>
          <w:rFonts w:ascii="Times New Roman" w:cs="Times New Roman" w:eastAsia="Times New Roman" w:hAnsi="Times New Roman"/>
          <w:sz w:val="14"/>
          <w:szCs w:val="14"/>
          <w:color w:val="auto"/>
        </w:rPr>
        <w:t>than 200</w:t>
      </w:r>
    </w:p>
    <w:p>
      <w:pPr>
        <w:ind w:left="8480"/>
        <w:spacing w:after="0" w:line="221" w:lineRule="auto"/>
        <w:rPr>
          <w:sz w:val="20"/>
          <w:szCs w:val="20"/>
          <w:color w:val="auto"/>
        </w:rPr>
      </w:pPr>
      <w:r>
        <w:rPr>
          <w:rFonts w:ascii="Times New Roman" w:cs="Times New Roman" w:eastAsia="Times New Roman" w:hAnsi="Times New Roman"/>
          <w:sz w:val="14"/>
          <w:szCs w:val="14"/>
          <w:color w:val="auto"/>
        </w:rPr>
        <w:t>ADC) hospice</w:t>
      </w:r>
    </w:p>
    <w:p>
      <w:pPr>
        <w:ind w:left="8480"/>
        <w:spacing w:after="0" w:line="222" w:lineRule="auto"/>
        <w:rPr>
          <w:sz w:val="20"/>
          <w:szCs w:val="20"/>
          <w:color w:val="auto"/>
        </w:rPr>
      </w:pPr>
      <w:r>
        <w:rPr>
          <w:rFonts w:ascii="Times New Roman" w:cs="Times New Roman" w:eastAsia="Times New Roman" w:hAnsi="Times New Roman"/>
          <w:sz w:val="14"/>
          <w:szCs w:val="14"/>
          <w:color w:val="auto"/>
        </w:rPr>
        <w:t>programs. Of</w:t>
      </w:r>
    </w:p>
    <w:p>
      <w:pPr>
        <w:ind w:left="8480"/>
        <w:spacing w:after="0" w:line="201" w:lineRule="auto"/>
        <w:rPr>
          <w:sz w:val="20"/>
          <w:szCs w:val="20"/>
          <w:color w:val="auto"/>
        </w:rPr>
      </w:pPr>
      <w:r>
        <w:rPr>
          <w:rFonts w:ascii="Times New Roman" w:cs="Times New Roman" w:eastAsia="Times New Roman" w:hAnsi="Times New Roman"/>
          <w:sz w:val="14"/>
          <w:szCs w:val="14"/>
          <w:color w:val="auto"/>
        </w:rPr>
        <w:t>Vitas' 33</w:t>
      </w:r>
    </w:p>
    <w:p>
      <w:pPr>
        <w:ind w:left="8480"/>
        <w:spacing w:after="0" w:line="221" w:lineRule="auto"/>
        <w:rPr>
          <w:sz w:val="20"/>
          <w:szCs w:val="20"/>
          <w:color w:val="auto"/>
        </w:rPr>
      </w:pPr>
      <w:r>
        <w:rPr>
          <w:rFonts w:ascii="Times New Roman" w:cs="Times New Roman" w:eastAsia="Times New Roman" w:hAnsi="Times New Roman"/>
          <w:sz w:val="14"/>
          <w:szCs w:val="14"/>
          <w:color w:val="auto"/>
        </w:rPr>
        <w:t>Medicare</w:t>
      </w:r>
    </w:p>
    <w:p>
      <w:pPr>
        <w:ind w:left="8480"/>
        <w:spacing w:after="0" w:line="222" w:lineRule="auto"/>
        <w:rPr>
          <w:sz w:val="20"/>
          <w:szCs w:val="20"/>
          <w:color w:val="auto"/>
        </w:rPr>
      </w:pPr>
      <w:r>
        <w:rPr>
          <w:rFonts w:ascii="Times New Roman" w:cs="Times New Roman" w:eastAsia="Times New Roman" w:hAnsi="Times New Roman"/>
          <w:sz w:val="14"/>
          <w:szCs w:val="14"/>
          <w:color w:val="auto"/>
        </w:rPr>
        <w:t>provider</w:t>
      </w:r>
    </w:p>
    <w:p>
      <w:pPr>
        <w:ind w:left="8480"/>
        <w:spacing w:after="0" w:line="201" w:lineRule="auto"/>
        <w:rPr>
          <w:sz w:val="20"/>
          <w:szCs w:val="20"/>
          <w:color w:val="auto"/>
        </w:rPr>
      </w:pPr>
      <w:r>
        <w:rPr>
          <w:rFonts w:ascii="Times New Roman" w:cs="Times New Roman" w:eastAsia="Times New Roman" w:hAnsi="Times New Roman"/>
          <w:sz w:val="14"/>
          <w:szCs w:val="14"/>
          <w:color w:val="auto"/>
        </w:rPr>
        <w:t>numbers, for</w:t>
      </w:r>
    </w:p>
    <w:p>
      <w:pPr>
        <w:ind w:left="8480"/>
        <w:spacing w:after="0" w:line="221" w:lineRule="auto"/>
        <w:rPr>
          <w:sz w:val="20"/>
          <w:szCs w:val="20"/>
          <w:color w:val="auto"/>
        </w:rPr>
      </w:pPr>
      <w:r>
        <w:rPr>
          <w:rFonts w:ascii="Times New Roman" w:cs="Times New Roman" w:eastAsia="Times New Roman" w:hAnsi="Times New Roman"/>
          <w:sz w:val="14"/>
          <w:szCs w:val="14"/>
          <w:color w:val="auto"/>
        </w:rPr>
        <w:t>the current cap</w:t>
      </w:r>
    </w:p>
    <w:p>
      <w:pPr>
        <w:ind w:left="8480"/>
        <w:spacing w:after="0" w:line="201" w:lineRule="auto"/>
        <w:rPr>
          <w:sz w:val="20"/>
          <w:szCs w:val="20"/>
          <w:color w:val="auto"/>
        </w:rPr>
      </w:pPr>
      <w:r>
        <w:rPr>
          <w:rFonts w:ascii="Times New Roman" w:cs="Times New Roman" w:eastAsia="Times New Roman" w:hAnsi="Times New Roman"/>
          <w:sz w:val="14"/>
          <w:szCs w:val="14"/>
          <w:color w:val="auto"/>
        </w:rPr>
        <w:t>year, 21</w:t>
      </w:r>
    </w:p>
    <w:p>
      <w:pPr>
        <w:ind w:left="8480"/>
        <w:spacing w:after="0" w:line="222" w:lineRule="auto"/>
        <w:rPr>
          <w:sz w:val="20"/>
          <w:szCs w:val="20"/>
          <w:color w:val="auto"/>
        </w:rPr>
      </w:pPr>
      <w:r>
        <w:rPr>
          <w:rFonts w:ascii="Times New Roman" w:cs="Times New Roman" w:eastAsia="Times New Roman" w:hAnsi="Times New Roman"/>
          <w:sz w:val="14"/>
          <w:szCs w:val="14"/>
          <w:color w:val="auto"/>
        </w:rPr>
        <w:t>provider</w:t>
      </w:r>
    </w:p>
    <w:p>
      <w:pPr>
        <w:ind w:left="8480"/>
        <w:spacing w:after="0" w:line="221" w:lineRule="auto"/>
        <w:rPr>
          <w:sz w:val="20"/>
          <w:szCs w:val="20"/>
          <w:color w:val="auto"/>
        </w:rPr>
      </w:pPr>
      <w:r>
        <w:rPr>
          <w:rFonts w:ascii="Times New Roman" w:cs="Times New Roman" w:eastAsia="Times New Roman" w:hAnsi="Times New Roman"/>
          <w:sz w:val="14"/>
          <w:szCs w:val="14"/>
          <w:color w:val="auto"/>
        </w:rPr>
        <w:t>numbers have</w:t>
      </w:r>
    </w:p>
    <w:p>
      <w:pPr>
        <w:ind w:left="8480"/>
        <w:spacing w:after="0" w:line="202" w:lineRule="auto"/>
        <w:rPr>
          <w:sz w:val="20"/>
          <w:szCs w:val="20"/>
          <w:color w:val="auto"/>
        </w:rPr>
      </w:pPr>
      <w:r>
        <w:rPr>
          <w:rFonts w:ascii="Times New Roman" w:cs="Times New Roman" w:eastAsia="Times New Roman" w:hAnsi="Times New Roman"/>
          <w:sz w:val="14"/>
          <w:szCs w:val="14"/>
          <w:color w:val="auto"/>
        </w:rPr>
        <w:t>a Medicare</w:t>
      </w:r>
    </w:p>
    <w:p>
      <w:pPr>
        <w:ind w:left="8480"/>
        <w:spacing w:after="0" w:line="221" w:lineRule="auto"/>
        <w:rPr>
          <w:sz w:val="20"/>
          <w:szCs w:val="20"/>
          <w:color w:val="auto"/>
        </w:rPr>
      </w:pPr>
      <w:r>
        <w:rPr>
          <w:rFonts w:ascii="Times New Roman" w:cs="Times New Roman" w:eastAsia="Times New Roman" w:hAnsi="Times New Roman"/>
          <w:sz w:val="14"/>
          <w:szCs w:val="14"/>
          <w:color w:val="auto"/>
        </w:rPr>
        <w:t>cap cushion of</w:t>
      </w:r>
    </w:p>
    <w:p>
      <w:pPr>
        <w:ind w:left="8480"/>
        <w:spacing w:after="0" w:line="221" w:lineRule="auto"/>
        <w:rPr>
          <w:sz w:val="20"/>
          <w:szCs w:val="20"/>
          <w:color w:val="auto"/>
        </w:rPr>
      </w:pPr>
      <w:r>
        <w:rPr>
          <w:rFonts w:ascii="Times New Roman" w:cs="Times New Roman" w:eastAsia="Times New Roman" w:hAnsi="Times New Roman"/>
          <w:sz w:val="14"/>
          <w:szCs w:val="14"/>
          <w:color w:val="auto"/>
        </w:rPr>
        <w:t>greater than</w:t>
      </w:r>
    </w:p>
    <w:p>
      <w:pPr>
        <w:ind w:left="8480"/>
        <w:spacing w:after="0" w:line="202" w:lineRule="auto"/>
        <w:rPr>
          <w:sz w:val="20"/>
          <w:szCs w:val="20"/>
          <w:color w:val="auto"/>
        </w:rPr>
      </w:pPr>
      <w:r>
        <w:rPr>
          <w:rFonts w:ascii="Times New Roman" w:cs="Times New Roman" w:eastAsia="Times New Roman" w:hAnsi="Times New Roman"/>
          <w:sz w:val="14"/>
          <w:szCs w:val="14"/>
          <w:color w:val="auto"/>
        </w:rPr>
        <w:t>10%, seven</w:t>
      </w:r>
    </w:p>
    <w:p>
      <w:pPr>
        <w:ind w:left="8480"/>
        <w:spacing w:after="0" w:line="221" w:lineRule="auto"/>
        <w:rPr>
          <w:sz w:val="20"/>
          <w:szCs w:val="20"/>
          <w:color w:val="auto"/>
        </w:rPr>
      </w:pPr>
      <w:r>
        <w:rPr>
          <w:rFonts w:ascii="Times New Roman" w:cs="Times New Roman" w:eastAsia="Times New Roman" w:hAnsi="Times New Roman"/>
          <w:sz w:val="14"/>
          <w:szCs w:val="14"/>
          <w:color w:val="auto"/>
        </w:rPr>
        <w:t>provider</w:t>
      </w:r>
    </w:p>
    <w:p>
      <w:pPr>
        <w:ind w:left="8480"/>
        <w:spacing w:after="0" w:line="221" w:lineRule="auto"/>
        <w:rPr>
          <w:sz w:val="20"/>
          <w:szCs w:val="20"/>
          <w:color w:val="auto"/>
        </w:rPr>
      </w:pPr>
      <w:r>
        <w:rPr>
          <w:rFonts w:ascii="Times New Roman" w:cs="Times New Roman" w:eastAsia="Times New Roman" w:hAnsi="Times New Roman"/>
          <w:sz w:val="14"/>
          <w:szCs w:val="14"/>
          <w:color w:val="auto"/>
        </w:rPr>
        <w:t>numbers have</w:t>
      </w:r>
    </w:p>
    <w:p>
      <w:pPr>
        <w:ind w:left="8480"/>
        <w:spacing w:after="0" w:line="202" w:lineRule="auto"/>
        <w:rPr>
          <w:sz w:val="20"/>
          <w:szCs w:val="20"/>
          <w:color w:val="auto"/>
        </w:rPr>
      </w:pPr>
      <w:r>
        <w:rPr>
          <w:rFonts w:ascii="Times New Roman" w:cs="Times New Roman" w:eastAsia="Times New Roman" w:hAnsi="Times New Roman"/>
          <w:sz w:val="14"/>
          <w:szCs w:val="14"/>
          <w:color w:val="auto"/>
        </w:rPr>
        <w:t>a Medicare</w:t>
      </w:r>
    </w:p>
    <w:p>
      <w:pPr>
        <w:ind w:left="8480"/>
        <w:spacing w:after="0" w:line="221" w:lineRule="auto"/>
        <w:rPr>
          <w:sz w:val="20"/>
          <w:szCs w:val="20"/>
          <w:color w:val="auto"/>
        </w:rPr>
      </w:pPr>
      <w:r>
        <w:rPr>
          <w:rFonts w:ascii="Times New Roman" w:cs="Times New Roman" w:eastAsia="Times New Roman" w:hAnsi="Times New Roman"/>
          <w:sz w:val="14"/>
          <w:szCs w:val="14"/>
          <w:color w:val="auto"/>
        </w:rPr>
        <w:t>cap cushion</w:t>
      </w:r>
    </w:p>
    <w:p>
      <w:pPr>
        <w:ind w:left="8480"/>
        <w:spacing w:after="0" w:line="221" w:lineRule="auto"/>
        <w:rPr>
          <w:sz w:val="20"/>
          <w:szCs w:val="20"/>
          <w:color w:val="auto"/>
        </w:rPr>
      </w:pPr>
      <w:r>
        <w:rPr>
          <w:rFonts w:ascii="Times New Roman" w:cs="Times New Roman" w:eastAsia="Times New Roman" w:hAnsi="Times New Roman"/>
          <w:sz w:val="14"/>
          <w:szCs w:val="14"/>
          <w:color w:val="auto"/>
        </w:rPr>
        <w:t>between 0%</w:t>
      </w:r>
    </w:p>
    <w:p>
      <w:pPr>
        <w:ind w:left="8480"/>
        <w:spacing w:after="0" w:line="202" w:lineRule="auto"/>
        <w:rPr>
          <w:sz w:val="20"/>
          <w:szCs w:val="20"/>
          <w:color w:val="auto"/>
        </w:rPr>
      </w:pPr>
      <w:r>
        <w:rPr>
          <w:rFonts w:ascii="Times New Roman" w:cs="Times New Roman" w:eastAsia="Times New Roman" w:hAnsi="Times New Roman"/>
          <w:sz w:val="14"/>
          <w:szCs w:val="14"/>
          <w:color w:val="auto"/>
        </w:rPr>
        <w:t>and 10%, and</w:t>
      </w:r>
    </w:p>
    <w:p>
      <w:pPr>
        <w:ind w:left="8480"/>
        <w:spacing w:after="0" w:line="221" w:lineRule="auto"/>
        <w:rPr>
          <w:sz w:val="20"/>
          <w:szCs w:val="20"/>
          <w:color w:val="auto"/>
        </w:rPr>
      </w:pPr>
      <w:r>
        <w:rPr>
          <w:rFonts w:ascii="Times New Roman" w:cs="Times New Roman" w:eastAsia="Times New Roman" w:hAnsi="Times New Roman"/>
          <w:sz w:val="14"/>
          <w:szCs w:val="14"/>
          <w:color w:val="auto"/>
        </w:rPr>
        <w:t>five provider</w:t>
      </w:r>
    </w:p>
    <w:p>
      <w:pPr>
        <w:ind w:left="8480"/>
        <w:spacing w:after="0" w:line="221" w:lineRule="auto"/>
        <w:rPr>
          <w:sz w:val="20"/>
          <w:szCs w:val="20"/>
          <w:color w:val="auto"/>
        </w:rPr>
      </w:pPr>
      <w:r>
        <w:rPr>
          <w:rFonts w:ascii="Times New Roman" w:cs="Times New Roman" w:eastAsia="Times New Roman" w:hAnsi="Times New Roman"/>
          <w:sz w:val="14"/>
          <w:szCs w:val="14"/>
          <w:color w:val="auto"/>
        </w:rPr>
        <w:t>numbers have</w:t>
      </w:r>
    </w:p>
    <w:p>
      <w:pPr>
        <w:ind w:left="8480"/>
        <w:spacing w:after="0" w:line="202" w:lineRule="auto"/>
        <w:rPr>
          <w:sz w:val="20"/>
          <w:szCs w:val="20"/>
          <w:color w:val="auto"/>
        </w:rPr>
      </w:pPr>
      <w:r>
        <w:rPr>
          <w:rFonts w:ascii="Times New Roman" w:cs="Times New Roman" w:eastAsia="Times New Roman" w:hAnsi="Times New Roman"/>
          <w:sz w:val="14"/>
          <w:szCs w:val="14"/>
          <w:color w:val="auto"/>
        </w:rPr>
        <w:t>a Medicare</w:t>
      </w:r>
    </w:p>
    <w:p>
      <w:pPr>
        <w:ind w:left="8480"/>
        <w:spacing w:after="0"/>
        <w:rPr>
          <w:sz w:val="20"/>
          <w:szCs w:val="20"/>
          <w:color w:val="auto"/>
        </w:rPr>
      </w:pPr>
      <w:r>
        <w:rPr>
          <w:rFonts w:ascii="Times New Roman" w:cs="Times New Roman" w:eastAsia="Times New Roman" w:hAnsi="Times New Roman"/>
          <w:sz w:val="14"/>
          <w:szCs w:val="14"/>
          <w:color w:val="auto"/>
        </w:rPr>
        <w:t>cap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137795</wp:posOffset>
            </wp:positionV>
            <wp:extent cx="6000115" cy="514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000115" cy="51435"/>
                    </a:xfrm>
                    <a:prstGeom prst="rect">
                      <a:avLst/>
                    </a:prstGeom>
                    <a:noFill/>
                  </pic:spPr>
                </pic:pic>
              </a:graphicData>
            </a:graphic>
          </wp:anchor>
        </w:drawing>
      </w:r>
    </w:p>
    <w:sectPr>
      <w:pgSz w:w="11900" w:h="16838" w:orient="portrait"/>
      <w:cols w:equalWidth="0" w:num="1">
        <w:col w:w="9479"/>
      </w:cols>
      <w:pgMar w:left="980" w:top="10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lowerLetter"/>
      <w:start w:val="4"/>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A"/>
      <w:numFmt w:val="bullet"/>
      <w:start w:val="1"/>
    </w:lvl>
  </w:abstractNum>
  <w:abstractNum w:abstractNumId="5">
    <w:nsid w:val="41B71EFB"/>
    <w:multiLevelType w:val="hybridMultilevel"/>
    <w:lvl w:ilvl="0">
      <w:lvlJc w:val="left"/>
      <w:lvlText w:val="(%1)"/>
      <w:numFmt w:val="decimal"/>
      <w:start w:val="1"/>
    </w:lvl>
  </w:abstractNum>
  <w:abstractNum w:abstractNumId="6">
    <w:nsid w:val="79E2A9E3"/>
    <w:multiLevelType w:val="hybridMultilevel"/>
    <w:lvl w:ilvl="0">
      <w:lvlJc w:val="left"/>
      <w:lvlText w:val="(%1)"/>
      <w:numFmt w:val="lowerLetter"/>
      <w:start w:val="1"/>
    </w:lvl>
  </w:abstractNum>
  <w:abstractNum w:abstractNumId="7">
    <w:nsid w:val="7545E146"/>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2026-10-27T15:40:49Z</dcterms:created>
  <dcterms:modified xsi:type="dcterms:W3CDTF">2026-10-27T15:40:49Z</dcterms:modified>
</cp:coreProperties>
</file>