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MCNAMARA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CHEMED CENTER</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255 EAST 5TH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CHEMED CORP</w:t>
              </w:r>
            </w:hyperlink>
            <w:r>
              <w:rPr/>
              <w:t xml:space="preserve"> [ </w:t>
            </w:r>
            <w:r>
              <w:rPr>
                <w:rFonts w:ascii="Times;serif" w:hAnsi="Times;serif"/>
                <w:color w:val="0000FF"/>
                <w:sz w:val="24"/>
                <w:shd w:fill="FFFFFF" w:val="clear"/>
              </w:rPr>
              <w:t>CHE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5"/>
        <w:gridCol w:w="904"/>
        <w:gridCol w:w="773"/>
        <w:gridCol w:w="600"/>
        <w:gridCol w:w="349"/>
        <w:gridCol w:w="847"/>
        <w:gridCol w:w="456"/>
        <w:gridCol w:w="882"/>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513.45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66,418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$510.93 to $515.12. The reporting person undertakes to provide to Chemed Corporation, any security holder of Chemed Corporation, or staff of the SEC, upon request, full information regarding the number of shares sold at each separate price within the ranges set forth in footnote (1)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J. McNamara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137" TargetMode="External"/><Relationship Id="rId5" Type="http://schemas.openxmlformats.org/officeDocument/2006/relationships/hyperlink" Target="http://www.sec.gov/cgi-bin/browse-edgar?action=getcompany&amp;CIK=0000019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3421</Characters>
  <CharactersWithSpaces>3989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